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附件3-1</w:t>
      </w:r>
    </w:p>
    <w:p>
      <w:pPr>
        <w:rPr>
          <w:rFonts w:hint="eastAsia" w:ascii="黑体" w:hAnsi="黑体" w:eastAsia="黑体"/>
          <w:sz w:val="32"/>
          <w:szCs w:val="32"/>
        </w:rPr>
      </w:pP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2"/>
        <w:tblW w:w="10113" w:type="dxa"/>
        <w:jc w:val="center"/>
        <w:tblLayout w:type="fixed"/>
        <w:tblCellMar>
          <w:top w:w="0" w:type="dxa"/>
          <w:left w:w="108" w:type="dxa"/>
          <w:bottom w:w="0" w:type="dxa"/>
          <w:right w:w="108" w:type="dxa"/>
        </w:tblCellMar>
      </w:tblPr>
      <w:tblGrid>
        <w:gridCol w:w="976"/>
        <w:gridCol w:w="939"/>
        <w:gridCol w:w="1389"/>
        <w:gridCol w:w="4171"/>
        <w:gridCol w:w="619"/>
        <w:gridCol w:w="720"/>
        <w:gridCol w:w="1299"/>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299"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0</w:t>
            </w:r>
          </w:p>
        </w:tc>
        <w:tc>
          <w:tcPr>
            <w:tcW w:w="1299"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编制人数</w:t>
            </w:r>
            <w:r>
              <w:rPr>
                <w:rFonts w:hint="eastAsia" w:ascii="仿宋_GB2312" w:hAnsi="宋体" w:eastAsia="仿宋_GB2312" w:cs="宋体"/>
                <w:kern w:val="0"/>
                <w:sz w:val="18"/>
                <w:szCs w:val="18"/>
                <w:lang w:val="en-US" w:eastAsia="zh-CN"/>
              </w:rPr>
              <w:t>31</w:t>
            </w:r>
            <w:r>
              <w:rPr>
                <w:rFonts w:hint="eastAsia" w:ascii="仿宋_GB2312" w:hAnsi="宋体" w:eastAsia="仿宋_GB2312" w:cs="宋体"/>
                <w:kern w:val="0"/>
                <w:sz w:val="18"/>
                <w:szCs w:val="18"/>
              </w:rPr>
              <w:t>人，在职人员</w:t>
            </w:r>
            <w:r>
              <w:rPr>
                <w:rFonts w:hint="eastAsia" w:ascii="仿宋_GB2312" w:hAnsi="宋体" w:eastAsia="仿宋_GB2312" w:cs="宋体"/>
                <w:kern w:val="0"/>
                <w:sz w:val="18"/>
                <w:szCs w:val="18"/>
                <w:lang w:val="en-US" w:eastAsia="zh-CN"/>
              </w:rPr>
              <w:t>42</w:t>
            </w:r>
            <w:bookmarkStart w:id="0" w:name="_GoBack"/>
            <w:bookmarkEnd w:id="0"/>
            <w:r>
              <w:rPr>
                <w:rFonts w:hint="eastAsia" w:ascii="仿宋_GB2312" w:hAnsi="宋体" w:eastAsia="仿宋_GB2312" w:cs="宋体"/>
                <w:kern w:val="0"/>
                <w:sz w:val="18"/>
                <w:szCs w:val="18"/>
              </w:rPr>
              <w:t>人。</w:t>
            </w: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299"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299"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29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eastAsia="zh-CN"/>
              </w:rPr>
              <w:t>预算调整率为</w:t>
            </w:r>
            <w:r>
              <w:rPr>
                <w:rFonts w:hint="eastAsia" w:ascii="仿宋_GB2312" w:hAnsi="宋体" w:eastAsia="仿宋_GB2312" w:cs="宋体"/>
                <w:color w:val="000000"/>
                <w:kern w:val="0"/>
                <w:sz w:val="18"/>
                <w:szCs w:val="18"/>
                <w:lang w:val="en-US" w:eastAsia="zh-CN"/>
              </w:rPr>
              <w:t>3.72%</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29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29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4.5</w:t>
            </w:r>
          </w:p>
        </w:tc>
        <w:tc>
          <w:tcPr>
            <w:tcW w:w="129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r>
              <w:rPr>
                <w:rFonts w:hint="eastAsia" w:ascii="仿宋_GB2312" w:hAnsi="宋体" w:eastAsia="仿宋_GB2312" w:cs="宋体"/>
                <w:kern w:val="0"/>
                <w:sz w:val="18"/>
                <w:szCs w:val="18"/>
                <w:lang w:eastAsia="zh-CN"/>
              </w:rPr>
              <w:t>为</w:t>
            </w:r>
            <w:r>
              <w:rPr>
                <w:rFonts w:hint="eastAsia" w:ascii="仿宋_GB2312" w:hAnsi="宋体" w:eastAsia="仿宋_GB2312" w:cs="宋体"/>
                <w:kern w:val="0"/>
                <w:sz w:val="18"/>
                <w:szCs w:val="18"/>
                <w:lang w:val="en-US" w:eastAsia="zh-CN"/>
              </w:rPr>
              <w:t>101.5%</w:t>
            </w: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29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29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299"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299"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299"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299"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2"/>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97"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组织2次执法检查</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根据实际情况开展调研走访活动若干人次</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7</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7</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年度至少组织召开1次全县人民代表大会</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组织召开至少</w:t>
            </w:r>
            <w:r>
              <w:rPr>
                <w:rFonts w:hint="eastAsia" w:ascii="仿宋_GB2312" w:hAnsi="宋体" w:eastAsia="仿宋_GB2312" w:cs="宋体"/>
                <w:kern w:val="0"/>
                <w:sz w:val="18"/>
                <w:szCs w:val="18"/>
              </w:rPr>
              <w:t>6次常委会会议，12次主任会议</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2</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2</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根据实际情况开展视察和若干</w:t>
            </w:r>
            <w:r>
              <w:rPr>
                <w:rFonts w:hint="eastAsia" w:ascii="仿宋_GB2312" w:hAnsi="宋体" w:eastAsia="仿宋_GB2312" w:cs="宋体"/>
                <w:kern w:val="0"/>
                <w:sz w:val="18"/>
                <w:szCs w:val="18"/>
                <w:lang w:eastAsia="zh-CN"/>
              </w:rPr>
              <w:t>人</w:t>
            </w:r>
            <w:r>
              <w:rPr>
                <w:rFonts w:hint="eastAsia" w:ascii="仿宋_GB2312" w:hAnsi="宋体" w:eastAsia="仿宋_GB2312" w:cs="宋体"/>
                <w:kern w:val="0"/>
                <w:sz w:val="18"/>
                <w:szCs w:val="18"/>
              </w:rPr>
              <w:t>次调研</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2</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eastAsia="zh-CN"/>
              </w:rPr>
              <w:t>搭建预算联网监督系统平台，并投入使用</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审查、调整、决定全县国民经济和社会发展计划以及财政预决算，监督政府重点项目实施情况和金融稳定情况，促进全县经济社会长期稳定发展。</w:t>
            </w:r>
          </w:p>
        </w:tc>
        <w:tc>
          <w:tcPr>
            <w:tcW w:w="62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bidi="ar-SA"/>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bidi="ar-SA"/>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4"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密切联系代表和群众，为人民群众发声，维护群众利益。</w:t>
            </w:r>
          </w:p>
        </w:tc>
        <w:tc>
          <w:tcPr>
            <w:tcW w:w="62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bidi="ar-SA"/>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bidi="ar-SA"/>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4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督促搞好生态环境保护，减少资源消耗，促进人与自然长期和谐发展。</w:t>
            </w:r>
          </w:p>
        </w:tc>
        <w:tc>
          <w:tcPr>
            <w:tcW w:w="62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bidi="ar-SA"/>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bidi="ar-SA"/>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72"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92.5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765D3E"/>
    <w:rsid w:val="50E84885"/>
    <w:rsid w:val="54765D3E"/>
    <w:rsid w:val="5A5D3D9F"/>
    <w:rsid w:val="6C5A3D0C"/>
    <w:rsid w:val="7A5E0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2021-07-19T09:18:00Z</dcterms:created>
  <dc:creator>淼淼</dc:creator>
  <cp:lastModifiedBy>淼淼</cp:lastModifiedBy>
  <dcterms:modified xsi:type="dcterms:W3CDTF">2021-07-21T09:45:34Z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