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名称：中共华容县委机构编制委员会办公</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30"/>
          <w:sz w:val="32"/>
          <w:szCs w:val="32"/>
        </w:rPr>
        <w:t>118001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2020</w:t>
      </w:r>
      <w:r>
        <w:rPr>
          <w:rFonts w:hint="eastAsia" w:eastAsia="仿宋_GB2312"/>
          <w:sz w:val="32"/>
        </w:rPr>
        <w:t>年</w:t>
      </w:r>
      <w:r>
        <w:rPr>
          <w:rFonts w:eastAsia="仿宋_GB2312"/>
          <w:sz w:val="32"/>
        </w:rPr>
        <w:t xml:space="preserve"> 10</w:t>
      </w:r>
      <w:r>
        <w:rPr>
          <w:rFonts w:hint="eastAsia" w:eastAsia="仿宋_GB2312"/>
          <w:sz w:val="32"/>
        </w:rPr>
        <w:t>月</w:t>
      </w:r>
      <w:r>
        <w:rPr>
          <w:rFonts w:eastAsia="仿宋_GB2312"/>
          <w:sz w:val="32"/>
        </w:rPr>
        <w:t>20</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张杰汉</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13974040707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贯彻执行中央和省市有关行政管理体制和机构改革以及机构编制管理的法律法规和政策；起草机构编制管理的规范性文件；统一管理全县各级党政机关（含党委、政府各部门，人大、政协、法院、检察院机关，人民团体机关以及其他行政机构，下同）和事业单位的机构编制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（二）拟订全县行政管理体制和机构改革总体方案并组织实施；审核县直党政机关各部门和乡镇党政机构改革方案；指导、协调全县行政管理体制改革和机构改革工作。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（三）拟订全县事业单位管理体制与机构改革总体方案并组织实施；审核全县副科级以上事业单位和乡镇事业单位机构改革方案；指导、协调全县各级事业单位机构改革工作。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审核全县科级机构、乡镇党政机构和事业单位的设置和调整方案；研究提出县直党政机关职责配置和调整意见，协调各部门之间、部门与乡镇之间的事权职责分工；审定县直股级事业单位机构改革方案；审定全县科级机构的内设机构、县直股级事业单位的设置和调整方案。</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审核县直党政机关各部门、全县副科级以上事业单位人员编制方案；审定县直股级事业单位人员编制方案；会同相关部门提出县直党政机关、科级以上事业单位职数配备和调整方案；审定县直党政机关、事业单位股级干部职数；拟订全县各级党政机关行政编制、政法专项编制总额分配和调整方案；研究提出事业单位编制控制计划，拟订全县事业单位机构编制标准和管理办法。</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（六）拟订全县乡镇机构改革总体方案并指导实施；管理全县乡镇机构和人员编制。</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负责全县各级党政机关、事业单位机构编制实名制管理；审核纳入县级财政统一发放工资的同级党政机关、事业单位（含收取规费的事业单位）的人员编制性质、数量、实有人数和领导职数；负责全县机构编制统计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（八）负责全县各级机关事业单位辅助性、替代性、临时性用工计划的审核工作，督促、指导各用人单位规范劳动用工。</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九）贯彻执行国家有关事业单位登记管理的法律、法规、规章，拟订全县事业单位登记管理的相关文件并组织实施；依法对本级登记管辖范围内的事业单位进行登记管理，积极开展事业单位法人履职评估工作，会同有关部门认真做好事业单位法定代表人离任审计工作；指导、协调、监督全县事业单位登记管理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（十）监督检查全县各级党政机关、事业单位机构编制及行政管理体制改革和机构改革的执行情况，会同有关部门查处机构编制违规违纪行为。</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（十一）承担全县党政机关、事业单位公务用车的编制管理工作。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（十二）负责组织和指导全县党政机关、事业单位政务类和公益类网上中文域名的注册申报及管理工作。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（十三）承办县委、县人民政府和县委机构编制委员会交办的其他事项。</w:t>
            </w:r>
          </w:p>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机构编制只减不增</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己按要求完成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234</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234</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234</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234</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210</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210</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87</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24</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210</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210</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87</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24</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17.9</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17.9</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17.9</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17.9</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目标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目标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目标</w:t>
            </w:r>
            <w:r>
              <w:rPr>
                <w:rFonts w:ascii="仿宋_GB2312" w:hAnsi="仿宋_GB2312" w:eastAsia="仿宋_GB2312" w:cs="仿宋_GB2312"/>
                <w:color w:val="000000" w:themeColor="text1"/>
                <w:sz w:val="24"/>
              </w:rPr>
              <w:t>3</w:t>
            </w:r>
            <w:r>
              <w:rPr>
                <w:rFonts w:hint="eastAsia" w:ascii="仿宋_GB2312" w:hAnsi="仿宋_GB2312" w:eastAsia="仿宋_GB2312" w:cs="仿宋_GB2312"/>
                <w:color w:val="000000" w:themeColor="text1"/>
                <w:sz w:val="24"/>
              </w:rPr>
              <w:t>：……</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整体支出</w:t>
            </w:r>
          </w:p>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产出目标</w:t>
            </w:r>
          </w:p>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质量指标</w:t>
            </w: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机构编制只减不增</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eastAsia="zh-CN"/>
              </w:rPr>
            </w:pPr>
            <w:r>
              <w:rPr>
                <w:rFonts w:hint="eastAsia" w:ascii="仿宋_GB2312" w:hAnsi="仿宋_GB2312" w:eastAsia="仿宋_GB2312" w:cs="仿宋_GB2312"/>
                <w:b/>
                <w:color w:val="000000" w:themeColor="text1"/>
                <w:sz w:val="24"/>
                <w:lang w:eastAsia="zh-CN"/>
              </w:rPr>
              <w:t>己完成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spacing w:line="320" w:lineRule="exact"/>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spacing w:line="320" w:lineRule="exact"/>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效益目标</w:t>
            </w:r>
          </w:p>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黑体" w:hAnsi="黑体" w:eastAsia="黑体" w:cs="黑体"/>
                <w:color w:val="000000" w:themeColor="text1"/>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姓</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职务</w:t>
            </w:r>
            <w:r>
              <w:rPr>
                <w:rFonts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rPr>
              <w:t>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单</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签</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张义</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副主任</w:t>
            </w:r>
          </w:p>
        </w:tc>
        <w:tc>
          <w:tcPr>
            <w:tcW w:w="1479" w:type="dxa"/>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县编办</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张义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刘红波</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综合办主任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县编办</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刘红波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邓亮</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事务中心副主任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县编办</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邓亮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评价组组长（签字）：</w:t>
            </w: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张义</w:t>
            </w: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lang w:val="en-US" w:eastAsia="zh-CN"/>
              </w:rPr>
              <w:t>2020</w:t>
            </w:r>
            <w:r>
              <w:rPr>
                <w:rFonts w:hint="eastAsia" w:ascii="仿宋_GB2312" w:hAnsi="仿宋_GB2312" w:eastAsia="仿宋_GB2312" w:cs="仿宋_GB2312"/>
                <w:color w:val="000000" w:themeColor="text1"/>
                <w:sz w:val="24"/>
              </w:rPr>
              <w:t>年</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lang w:val="en-US" w:eastAsia="zh-CN"/>
              </w:rPr>
              <w:t>12</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月</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lang w:val="en-US" w:eastAsia="zh-CN"/>
              </w:rPr>
              <w:t>30</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张杰汉</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13974040707</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（一）部门（单位）基本情况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单位为财政全额预算拨款单位，核定人员编制</w:t>
            </w:r>
            <w:r>
              <w:rPr>
                <w:rFonts w:ascii="仿宋_GB2312" w:hAnsi="宋体" w:eastAsia="仿宋_GB2312" w:cs="宋体"/>
                <w:sz w:val="32"/>
                <w:szCs w:val="32"/>
                <w:shd w:val="clear" w:color="auto" w:fill="FFFFFF"/>
              </w:rPr>
              <w:t>13</w:t>
            </w:r>
            <w:r>
              <w:rPr>
                <w:rFonts w:hint="eastAsia" w:ascii="仿宋_GB2312" w:hAnsi="宋体" w:eastAsia="仿宋_GB2312" w:cs="宋体"/>
                <w:sz w:val="32"/>
                <w:szCs w:val="32"/>
                <w:shd w:val="clear" w:color="auto" w:fill="FFFFFF"/>
              </w:rPr>
              <w:t>人，实有人数为</w:t>
            </w:r>
            <w:r>
              <w:rPr>
                <w:rFonts w:ascii="仿宋_GB2312" w:hAnsi="宋体" w:eastAsia="仿宋_GB2312" w:cs="宋体"/>
                <w:sz w:val="32"/>
                <w:szCs w:val="32"/>
                <w:shd w:val="clear" w:color="auto" w:fill="FFFFFF"/>
              </w:rPr>
              <w:t>13</w:t>
            </w:r>
            <w:r>
              <w:rPr>
                <w:rFonts w:hint="eastAsia" w:ascii="仿宋_GB2312" w:hAnsi="宋体" w:eastAsia="仿宋_GB2312" w:cs="宋体"/>
                <w:sz w:val="32"/>
                <w:szCs w:val="32"/>
                <w:shd w:val="clear" w:color="auto" w:fill="FFFFFF"/>
              </w:rPr>
              <w:t>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、职责职能：</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贯彻执行中央和省市有关行政管理体制和机构改革以及机构编制管理的法律法规和政策；起草机构编制管理的规范性文件；统一管理全县各级党政机关（含党委、政府各部门，人大、政协、法院、检察院机关，人民团体机关以及其他行政机构，下同）和事业单位的机构编制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（二）拟订全县行政管理体制和机构改革总体方案并组织实施；审核县直党政机关各部门和乡镇党政机构改革方案；指导、协调全县行政管理体制改革和机构改革工作。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（三）拟订全县事业单位管理体制与机构改革总体方案并组织实施；审核全县副科级以上事业单位和乡镇事业单位机构改革方案；指导、协调全县各级事业单位机构改革工作。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四）审核全县科级机构、乡镇党政机构和事业单位的设置和调整方案；研究提出县直党政机关职责配置和调整意见，协调各部门之间、部门与乡镇之间的事权职责分工；审定县直股级事业单位机构改革方案；审定全县科级机构的内设机构、县直股级事业单位的设置和调整方案。</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审核县直党政机关各部门、全县副科级以上事业单位人员编制方案；审定县直股级事业单位人员编制方案；会同相关部门提出县直党政机关、科级以上事业单位职数配备和调整方案；审定县直党政机关、事业单位股级干部职数；拟订全县各级党政机关行政编制、政法专项编制总额分配和调整方案；研究提出事业单位编制控制计划，拟订全县事业单位机构编制标准和管理办法。</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（六）拟订全县乡镇机构改革总体方案并指导实施；管理全县乡镇机构和人员编制。</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七）负责全县各级党政机关、事业单位机构编制实名制管理；审核纳入县级财政统一发放工资的同级党政机关、事业单位（含收取规费的事业单位）的人员编制性质、数量、实有人数和领导职数；负责全县机构编制统计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（八）负责全县各级机关事业单位辅助性、替代性、临时性用工计划的审核工作，督促、指导各用人单位规范劳动用工。</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九）贯彻执行国家有关事业单位登记管理的法律、法规、规章，拟订全县事业单位登记管理的相关文件并组织实施；依法对本级登记管辖范围内的事业单位进行登记管理，积极开展事业单位法人履职评估工作，会同有关部门认真做好事业单位法定代表人离任审计工作；指导、协调、监督全县事业单位登记管理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（十）监督检查全县各级党政机关、事业单位机构编制及行政管理体制改革和机构改革的执行情况，会同有关部门查处机构编制违规违纪行为。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（十一）承担全县党政机关、事业单位公务用车的编制管理工作。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（十二）负责组织和指导全县党政机关、事业单位政务类和公益类网上中文域名的注册申报及管理工作。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（十三）承办县委、县人民政府和县委机构编制委员会交办的其他事项。</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、内设机构：</w:t>
            </w:r>
          </w:p>
          <w:p>
            <w:pPr>
              <w:spacing w:line="560" w:lineRule="exact"/>
              <w:ind w:firstLine="640" w:firstLineChars="200"/>
              <w:rPr>
                <w:rFonts w:ascii="宋体" w:cs="宋体"/>
                <w:color w:val="FF0000"/>
                <w:sz w:val="32"/>
                <w:szCs w:val="32"/>
                <w:lang w:val="zh-CN"/>
              </w:rPr>
            </w:pPr>
            <w:r>
              <w:rPr>
                <w:rFonts w:hint="eastAsia" w:ascii="仿宋_GB2312" w:hAnsi="宋体" w:eastAsia="仿宋_GB2312" w:cs="宋体"/>
                <w:sz w:val="32"/>
                <w:szCs w:val="32"/>
                <w:shd w:val="clear" w:color="auto" w:fill="FFFFFF"/>
              </w:rPr>
              <w:t>综合室、行政编制办、事业编制办、事业单位登记办、行政审批制度改革办公室。</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（二）部门（单位）整体支出规模</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、收入情况：全年收入</w:t>
            </w:r>
            <w:r>
              <w:rPr>
                <w:rFonts w:ascii="仿宋_GB2312" w:hAnsi="宋体" w:eastAsia="仿宋_GB2312" w:cs="宋体"/>
                <w:sz w:val="32"/>
                <w:szCs w:val="32"/>
                <w:shd w:val="clear" w:color="auto" w:fill="FFFFFF"/>
              </w:rPr>
              <w:t xml:space="preserve">234.1  </w:t>
            </w:r>
            <w:r>
              <w:rPr>
                <w:rFonts w:hint="eastAsia" w:ascii="仿宋_GB2312" w:hAnsi="宋体" w:eastAsia="仿宋_GB2312" w:cs="宋体"/>
                <w:sz w:val="32"/>
                <w:szCs w:val="32"/>
                <w:shd w:val="clear" w:color="auto" w:fill="FFFFFF"/>
              </w:rPr>
              <w:t>万元，其中：财政拨款收入</w:t>
            </w:r>
            <w:r>
              <w:rPr>
                <w:rFonts w:ascii="仿宋_GB2312" w:hAnsi="宋体" w:eastAsia="仿宋_GB2312" w:cs="宋体"/>
                <w:sz w:val="32"/>
                <w:szCs w:val="32"/>
                <w:shd w:val="clear" w:color="auto" w:fill="FFFFFF"/>
              </w:rPr>
              <w:t xml:space="preserve">234 </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、支出情况</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全年支出</w:t>
            </w:r>
            <w:r>
              <w:rPr>
                <w:rFonts w:ascii="仿宋_GB2312" w:hAnsi="宋体" w:eastAsia="仿宋_GB2312" w:cs="宋体"/>
                <w:sz w:val="32"/>
                <w:szCs w:val="32"/>
                <w:shd w:val="clear" w:color="auto" w:fill="FFFFFF"/>
              </w:rPr>
              <w:t xml:space="preserve">  210</w:t>
            </w:r>
            <w:r>
              <w:rPr>
                <w:rFonts w:hint="eastAsia" w:ascii="仿宋_GB2312" w:hAnsi="宋体" w:eastAsia="仿宋_GB2312" w:cs="宋体"/>
                <w:sz w:val="32"/>
                <w:szCs w:val="32"/>
                <w:shd w:val="clear" w:color="auto" w:fill="FFFFFF"/>
              </w:rPr>
              <w:t>万元，</w:t>
            </w:r>
            <w:r>
              <w:rPr>
                <w:rFonts w:ascii="仿宋_GB2312" w:hAnsi="宋体" w:eastAsia="仿宋_GB2312" w:cs="宋体"/>
                <w:sz w:val="32"/>
                <w:szCs w:val="32"/>
                <w:shd w:val="clear" w:color="auto" w:fill="FFFFFF"/>
              </w:rPr>
              <w:t xml:space="preserve"> </w:t>
            </w:r>
            <w:r>
              <w:rPr>
                <w:rFonts w:hint="eastAsia" w:ascii="仿宋_GB2312" w:hAnsi="宋体" w:eastAsia="仿宋_GB2312" w:cs="宋体"/>
                <w:sz w:val="32"/>
                <w:szCs w:val="32"/>
                <w:shd w:val="clear" w:color="auto" w:fill="FFFFFF"/>
              </w:rPr>
              <w:t>其中：基本支出</w:t>
            </w:r>
            <w:r>
              <w:rPr>
                <w:rFonts w:ascii="仿宋_GB2312" w:hAnsi="宋体" w:eastAsia="仿宋_GB2312" w:cs="宋体"/>
                <w:sz w:val="32"/>
                <w:szCs w:val="32"/>
                <w:shd w:val="clear" w:color="auto" w:fill="FFFFFF"/>
              </w:rPr>
              <w:t>210</w:t>
            </w:r>
            <w:r>
              <w:rPr>
                <w:rFonts w:hint="eastAsia" w:ascii="仿宋_GB2312" w:hAnsi="宋体" w:eastAsia="仿宋_GB2312" w:cs="宋体"/>
                <w:sz w:val="32"/>
                <w:szCs w:val="32"/>
                <w:shd w:val="clear" w:color="auto" w:fill="FFFFFF"/>
              </w:rPr>
              <w:t>万元（工资福利支出</w:t>
            </w:r>
            <w:r>
              <w:rPr>
                <w:rFonts w:ascii="仿宋_GB2312" w:hAnsi="宋体" w:eastAsia="仿宋_GB2312" w:cs="宋体"/>
                <w:sz w:val="32"/>
                <w:szCs w:val="32"/>
                <w:shd w:val="clear" w:color="auto" w:fill="FFFFFF"/>
              </w:rPr>
              <w:t>117.4</w:t>
            </w:r>
            <w:r>
              <w:rPr>
                <w:rFonts w:hint="eastAsia" w:ascii="仿宋_GB2312" w:hAnsi="宋体" w:eastAsia="仿宋_GB2312" w:cs="宋体"/>
                <w:sz w:val="32"/>
                <w:szCs w:val="32"/>
                <w:shd w:val="clear" w:color="auto" w:fill="FFFFFF"/>
              </w:rPr>
              <w:t>万元，商品和服务支出</w:t>
            </w:r>
            <w:r>
              <w:rPr>
                <w:rFonts w:ascii="仿宋_GB2312" w:hAnsi="宋体" w:eastAsia="仿宋_GB2312" w:cs="宋体"/>
                <w:sz w:val="32"/>
                <w:szCs w:val="32"/>
                <w:shd w:val="clear" w:color="auto" w:fill="FFFFFF"/>
              </w:rPr>
              <w:t>68.2</w:t>
            </w:r>
            <w:r>
              <w:rPr>
                <w:rFonts w:hint="eastAsia" w:ascii="仿宋_GB2312" w:hAnsi="宋体" w:eastAsia="仿宋_GB2312" w:cs="宋体"/>
                <w:sz w:val="32"/>
                <w:szCs w:val="32"/>
                <w:shd w:val="clear" w:color="auto" w:fill="FFFFFF"/>
              </w:rPr>
              <w:t>万元，对个人和家庭补助支出</w:t>
            </w:r>
            <w:r>
              <w:rPr>
                <w:rFonts w:ascii="仿宋_GB2312" w:hAnsi="宋体" w:eastAsia="仿宋_GB2312" w:cs="宋体"/>
                <w:sz w:val="32"/>
                <w:szCs w:val="32"/>
                <w:shd w:val="clear" w:color="auto" w:fill="FFFFFF"/>
              </w:rPr>
              <w:t>5.6</w:t>
            </w:r>
            <w:r>
              <w:rPr>
                <w:rFonts w:hint="eastAsia" w:ascii="仿宋_GB2312" w:hAnsi="宋体" w:eastAsia="仿宋_GB2312" w:cs="宋体"/>
                <w:sz w:val="32"/>
                <w:szCs w:val="32"/>
                <w:shd w:val="clear" w:color="auto" w:fill="FFFFFF"/>
              </w:rPr>
              <w:t>万元，资本性支出</w:t>
            </w:r>
            <w:r>
              <w:rPr>
                <w:rFonts w:ascii="仿宋_GB2312" w:hAnsi="宋体" w:eastAsia="仿宋_GB2312" w:cs="宋体"/>
                <w:sz w:val="32"/>
                <w:szCs w:val="32"/>
                <w:shd w:val="clear" w:color="auto" w:fill="FFFFFF"/>
              </w:rPr>
              <w:t>4.8</w:t>
            </w:r>
            <w:r>
              <w:rPr>
                <w:rFonts w:hint="eastAsia" w:ascii="仿宋_GB2312" w:hAnsi="宋体" w:eastAsia="仿宋_GB2312" w:cs="宋体"/>
                <w:sz w:val="32"/>
                <w:szCs w:val="32"/>
                <w:shd w:val="clear" w:color="auto" w:fill="FFFFFF"/>
              </w:rPr>
              <w:t>万元，其他支出</w:t>
            </w:r>
            <w:r>
              <w:rPr>
                <w:rFonts w:ascii="仿宋_GB2312" w:hAnsi="宋体" w:eastAsia="仿宋_GB2312" w:cs="宋体"/>
                <w:sz w:val="32"/>
                <w:szCs w:val="32"/>
                <w:shd w:val="clear" w:color="auto" w:fill="FFFFFF"/>
              </w:rPr>
              <w:t>14</w:t>
            </w:r>
            <w:r>
              <w:rPr>
                <w:rFonts w:hint="eastAsia" w:ascii="仿宋_GB2312" w:hAnsi="宋体" w:eastAsia="仿宋_GB2312" w:cs="宋体"/>
                <w:sz w:val="32"/>
                <w:szCs w:val="32"/>
                <w:shd w:val="clear" w:color="auto" w:fill="FFFFFF"/>
              </w:rPr>
              <w:t>万元），项目支出</w:t>
            </w:r>
            <w:r>
              <w:rPr>
                <w:rFonts w:ascii="仿宋_GB2312" w:hAnsi="宋体" w:eastAsia="仿宋_GB2312" w:cs="宋体"/>
                <w:sz w:val="32"/>
                <w:szCs w:val="32"/>
                <w:shd w:val="clear" w:color="auto" w:fill="FFFFFF"/>
              </w:rPr>
              <w:t>0</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二、部门（单位）整体支出管理及使用情况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（一）基本支出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、部门整体支出情况分析</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年整体支出</w:t>
            </w:r>
            <w:r>
              <w:rPr>
                <w:rFonts w:ascii="仿宋_GB2312" w:hAnsi="宋体" w:eastAsia="仿宋_GB2312" w:cs="宋体"/>
                <w:sz w:val="32"/>
                <w:szCs w:val="32"/>
                <w:shd w:val="clear" w:color="auto" w:fill="FFFFFF"/>
              </w:rPr>
              <w:t>210.1</w:t>
            </w:r>
            <w:r>
              <w:rPr>
                <w:rFonts w:hint="eastAsia" w:ascii="仿宋_GB2312" w:hAnsi="宋体" w:eastAsia="仿宋_GB2312" w:cs="宋体"/>
                <w:sz w:val="32"/>
                <w:szCs w:val="32"/>
                <w:shd w:val="clear" w:color="auto" w:fill="FFFFFF"/>
              </w:rPr>
              <w:t>万元，其中基本支出</w:t>
            </w:r>
            <w:r>
              <w:rPr>
                <w:rFonts w:ascii="仿宋_GB2312" w:hAnsi="宋体" w:eastAsia="仿宋_GB2312" w:cs="宋体"/>
                <w:sz w:val="32"/>
                <w:szCs w:val="32"/>
                <w:shd w:val="clear" w:color="auto" w:fill="FFFFFF"/>
              </w:rPr>
              <w:t>210.1</w:t>
            </w:r>
            <w:r>
              <w:rPr>
                <w:rFonts w:hint="eastAsia" w:ascii="仿宋_GB2312" w:hAnsi="宋体" w:eastAsia="仿宋_GB2312" w:cs="宋体"/>
                <w:sz w:val="32"/>
                <w:szCs w:val="32"/>
                <w:shd w:val="clear" w:color="auto" w:fill="FFFFFF"/>
              </w:rPr>
              <w:t>万元，人员支出</w:t>
            </w:r>
            <w:r>
              <w:rPr>
                <w:rFonts w:ascii="仿宋_GB2312" w:hAnsi="宋体" w:eastAsia="仿宋_GB2312" w:cs="宋体"/>
                <w:sz w:val="32"/>
                <w:szCs w:val="32"/>
                <w:shd w:val="clear" w:color="auto" w:fill="FFFFFF"/>
              </w:rPr>
              <w:t>123</w:t>
            </w:r>
            <w:r>
              <w:rPr>
                <w:rFonts w:hint="eastAsia" w:ascii="仿宋_GB2312" w:hAnsi="宋体" w:eastAsia="仿宋_GB2312" w:cs="宋体"/>
                <w:sz w:val="32"/>
                <w:szCs w:val="32"/>
                <w:shd w:val="clear" w:color="auto" w:fill="FFFFFF"/>
              </w:rPr>
              <w:t>万元，占基本支出</w:t>
            </w:r>
            <w:r>
              <w:rPr>
                <w:rFonts w:ascii="仿宋_GB2312" w:hAnsi="宋体" w:eastAsia="仿宋_GB2312" w:cs="宋体"/>
                <w:sz w:val="32"/>
                <w:szCs w:val="32"/>
                <w:shd w:val="clear" w:color="auto" w:fill="FFFFFF"/>
              </w:rPr>
              <w:t>59%</w:t>
            </w:r>
            <w:r>
              <w:rPr>
                <w:rFonts w:hint="eastAsia" w:ascii="仿宋_GB2312" w:hAnsi="宋体" w:eastAsia="仿宋_GB2312" w:cs="宋体"/>
                <w:sz w:val="32"/>
                <w:szCs w:val="32"/>
                <w:shd w:val="clear" w:color="auto" w:fill="FFFFFF"/>
              </w:rPr>
              <w:t>，公用支出</w:t>
            </w:r>
            <w:r>
              <w:rPr>
                <w:rFonts w:ascii="仿宋_GB2312" w:hAnsi="宋体" w:eastAsia="仿宋_GB2312" w:cs="宋体"/>
                <w:sz w:val="32"/>
                <w:szCs w:val="32"/>
                <w:shd w:val="clear" w:color="auto" w:fill="FFFFFF"/>
              </w:rPr>
              <w:t>87.1</w:t>
            </w:r>
            <w:r>
              <w:rPr>
                <w:rFonts w:hint="eastAsia" w:ascii="仿宋_GB2312" w:hAnsi="宋体" w:eastAsia="仿宋_GB2312" w:cs="宋体"/>
                <w:sz w:val="32"/>
                <w:szCs w:val="32"/>
                <w:shd w:val="clear" w:color="auto" w:fill="FFFFFF"/>
              </w:rPr>
              <w:t>万元，占基本支出</w:t>
            </w:r>
            <w:r>
              <w:rPr>
                <w:rFonts w:ascii="仿宋_GB2312" w:hAnsi="宋体" w:eastAsia="仿宋_GB2312" w:cs="宋体"/>
                <w:sz w:val="32"/>
                <w:szCs w:val="32"/>
                <w:shd w:val="clear" w:color="auto" w:fill="FFFFFF"/>
              </w:rPr>
              <w:t xml:space="preserve">  41%</w:t>
            </w:r>
            <w:r>
              <w:rPr>
                <w:rFonts w:hint="eastAsia" w:ascii="仿宋_GB2312" w:hAnsi="宋体" w:eastAsia="仿宋_GB2312" w:cs="宋体"/>
                <w:sz w:val="32"/>
                <w:szCs w:val="32"/>
                <w:shd w:val="clear" w:color="auto" w:fill="FFFFFF"/>
              </w:rPr>
              <w:t>。项目支出</w:t>
            </w:r>
            <w:r>
              <w:rPr>
                <w:rFonts w:ascii="仿宋_GB2312" w:hAnsi="宋体" w:eastAsia="仿宋_GB2312" w:cs="宋体"/>
                <w:sz w:val="32"/>
                <w:szCs w:val="32"/>
                <w:shd w:val="clear" w:color="auto" w:fill="FFFFFF"/>
              </w:rPr>
              <w:t>0</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、“三公经费”支出情况分析</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年“三公经费”预算</w:t>
            </w:r>
            <w:r>
              <w:rPr>
                <w:rFonts w:ascii="仿宋_GB2312" w:hAnsi="宋体" w:eastAsia="仿宋_GB2312" w:cs="宋体"/>
                <w:sz w:val="32"/>
                <w:szCs w:val="32"/>
                <w:shd w:val="clear" w:color="auto" w:fill="FFFFFF"/>
              </w:rPr>
              <w:t>0.8</w:t>
            </w:r>
            <w:r>
              <w:rPr>
                <w:rFonts w:hint="eastAsia" w:ascii="仿宋_GB2312" w:hAnsi="宋体" w:eastAsia="仿宋_GB2312" w:cs="宋体"/>
                <w:sz w:val="32"/>
                <w:szCs w:val="32"/>
                <w:shd w:val="clear" w:color="auto" w:fill="FFFFFF"/>
              </w:rPr>
              <w:t>万元，实际开支</w:t>
            </w:r>
            <w:r>
              <w:rPr>
                <w:rFonts w:ascii="仿宋_GB2312" w:hAnsi="宋体" w:eastAsia="仿宋_GB2312" w:cs="宋体"/>
                <w:sz w:val="32"/>
                <w:szCs w:val="32"/>
                <w:shd w:val="clear" w:color="auto" w:fill="FFFFFF"/>
              </w:rPr>
              <w:t>0</w:t>
            </w:r>
            <w:r>
              <w:rPr>
                <w:rFonts w:hint="eastAsia" w:ascii="仿宋_GB2312" w:hAnsi="宋体" w:eastAsia="仿宋_GB2312" w:cs="宋体"/>
                <w:sz w:val="32"/>
                <w:szCs w:val="32"/>
                <w:shd w:val="clear" w:color="auto" w:fill="FFFFFF"/>
              </w:rPr>
              <w:t>万元。“三公经费”比去年减少了</w:t>
            </w:r>
            <w:r>
              <w:rPr>
                <w:rFonts w:ascii="仿宋_GB2312" w:hAnsi="宋体" w:eastAsia="仿宋_GB2312" w:cs="宋体"/>
                <w:sz w:val="32"/>
                <w:szCs w:val="32"/>
                <w:shd w:val="clear" w:color="auto" w:fill="FFFFFF"/>
              </w:rPr>
              <w:t>0.8</w:t>
            </w:r>
            <w:r>
              <w:rPr>
                <w:rFonts w:hint="eastAsia" w:ascii="仿宋_GB2312" w:hAnsi="宋体" w:eastAsia="仿宋_GB2312" w:cs="宋体"/>
                <w:sz w:val="32"/>
                <w:szCs w:val="32"/>
                <w:shd w:val="clear" w:color="auto" w:fill="FFFFFF"/>
              </w:rPr>
              <w:t>万元，控制在预算之内。</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3</w:t>
            </w:r>
            <w:r>
              <w:rPr>
                <w:rFonts w:hint="eastAsia" w:ascii="仿宋_GB2312" w:hAnsi="宋体" w:eastAsia="仿宋_GB2312" w:cs="宋体"/>
                <w:sz w:val="32"/>
                <w:szCs w:val="32"/>
                <w:shd w:val="clear" w:color="auto" w:fill="FFFFFF"/>
              </w:rPr>
              <w:t>、固定资产管理情况分析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w:t>
            </w:r>
            <w:r>
              <w:rPr>
                <w:rFonts w:ascii="仿宋_GB2312" w:hAnsi="宋体" w:eastAsia="仿宋_GB2312" w:cs="宋体"/>
                <w:sz w:val="32"/>
                <w:szCs w:val="32"/>
                <w:shd w:val="clear" w:color="auto" w:fill="FFFFFF"/>
              </w:rPr>
              <w:t>12</w:t>
            </w:r>
            <w:r>
              <w:rPr>
                <w:rFonts w:hint="eastAsia" w:ascii="仿宋_GB2312" w:hAnsi="宋体" w:eastAsia="仿宋_GB2312" w:cs="宋体"/>
                <w:sz w:val="32"/>
                <w:szCs w:val="32"/>
                <w:shd w:val="clear" w:color="auto" w:fill="FFFFFF"/>
              </w:rPr>
              <w:t>月末固定资产</w:t>
            </w:r>
            <w:r>
              <w:rPr>
                <w:rFonts w:ascii="仿宋_GB2312" w:hAnsi="宋体" w:eastAsia="仿宋_GB2312" w:cs="宋体"/>
                <w:sz w:val="32"/>
                <w:szCs w:val="32"/>
                <w:shd w:val="clear" w:color="auto" w:fill="FFFFFF"/>
              </w:rPr>
              <w:t>17.9</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（二）专项支出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、专项资金安排落实、总投入等情况分析</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年项目支出</w:t>
            </w:r>
            <w:r>
              <w:rPr>
                <w:rFonts w:ascii="仿宋_GB2312" w:hAnsi="宋体" w:eastAsia="仿宋_GB2312" w:cs="宋体"/>
                <w:sz w:val="32"/>
                <w:szCs w:val="32"/>
                <w:shd w:val="clear" w:color="auto" w:fill="FFFFFF"/>
              </w:rPr>
              <w:t>0</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三、部门（单位）整体支出绩效情况</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年度部门整体支出绩效情况如下：</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财务管理上，按照国家相关法律法规，制定了机关财务、公物购置使用、接待、会务、差旅等管理制度，并严格按照制度管理和执行，防范风险，保证财政资金的安全和高效运行。</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四、存在的主要问题</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一是“三公经费”有待更严格控制</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进一步加强厉行节约机制。</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二是预算编制与实际支出项目有的存在差异，有待进一步优化预算，提高预算编制的准确性。</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三是进一步完善差旅审批、会议审批、接待审批及培训审批制度和财务报账手续。</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五、改进措施和有关建议</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一是按照预算规定的项目和用途严格财务审核，经费支出严格按预算规定项目的财务支出内容进行财务核算，在预算金额内严格控制费用的支出。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二是严格控制“三公经费”支出，杜绝挪用和挤占其他预算资金；进一步细化“三公经费”管理，压缩“三公经费”支出。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三是预算财务分析常态化，定期做好预算支出财务分析，做好部门整体支出预算评价工作。</w:t>
            </w:r>
          </w:p>
          <w:p>
            <w:pPr>
              <w:spacing w:line="560" w:lineRule="exact"/>
              <w:ind w:firstLine="640" w:firstLineChars="200"/>
              <w:rPr>
                <w:rFonts w:ascii="仿宋_GB2312" w:hAnsi="宋体" w:eastAsia="仿宋_GB2312" w:cs="宋体"/>
                <w:sz w:val="32"/>
                <w:szCs w:val="32"/>
                <w:shd w:val="clear" w:color="auto" w:fill="FFFFFF"/>
              </w:rPr>
            </w:pPr>
          </w:p>
          <w:p>
            <w:pPr>
              <w:rPr>
                <w:rFonts w:eastAsia="楷体_GB2312"/>
                <w:bCs/>
                <w:sz w:val="28"/>
                <w:szCs w:val="28"/>
              </w:rPr>
            </w:pPr>
          </w:p>
        </w:tc>
      </w:tr>
    </w:tbl>
    <w:p>
      <w:pPr>
        <w:spacing w:line="200" w:lineRule="exact"/>
        <w:rPr>
          <w:rFonts w:eastAsia="仿宋_GB2312"/>
          <w:sz w:val="3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w:t>
    </w:r>
    <w:r>
      <w:rPr>
        <w:rStyle w:val="6"/>
        <w:sz w:val="24"/>
        <w:szCs w:val="24"/>
      </w:rPr>
      <w:fldChar w:fldCharType="end"/>
    </w:r>
    <w:r>
      <w:rPr>
        <w:rStyle w:val="6"/>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r>
      <w:rPr>
        <w:rStyle w:val="6"/>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E55C20"/>
    <w:rsid w:val="0000059C"/>
    <w:rsid w:val="000A1814"/>
    <w:rsid w:val="000E4BF0"/>
    <w:rsid w:val="00241C13"/>
    <w:rsid w:val="0027219E"/>
    <w:rsid w:val="00274797"/>
    <w:rsid w:val="002D1996"/>
    <w:rsid w:val="00331404"/>
    <w:rsid w:val="00357FB5"/>
    <w:rsid w:val="00411996"/>
    <w:rsid w:val="00452CA5"/>
    <w:rsid w:val="00474A5A"/>
    <w:rsid w:val="004E79C2"/>
    <w:rsid w:val="00553DC3"/>
    <w:rsid w:val="005808EE"/>
    <w:rsid w:val="005A40D9"/>
    <w:rsid w:val="006138AC"/>
    <w:rsid w:val="00651D1E"/>
    <w:rsid w:val="006623A4"/>
    <w:rsid w:val="006631AE"/>
    <w:rsid w:val="006C2B78"/>
    <w:rsid w:val="007009A0"/>
    <w:rsid w:val="00757E19"/>
    <w:rsid w:val="00760098"/>
    <w:rsid w:val="007701A6"/>
    <w:rsid w:val="007712B1"/>
    <w:rsid w:val="007A0539"/>
    <w:rsid w:val="007B2063"/>
    <w:rsid w:val="007C6066"/>
    <w:rsid w:val="008277A9"/>
    <w:rsid w:val="00856EF7"/>
    <w:rsid w:val="008A0584"/>
    <w:rsid w:val="009603AD"/>
    <w:rsid w:val="009A3479"/>
    <w:rsid w:val="009E10D9"/>
    <w:rsid w:val="00AB3957"/>
    <w:rsid w:val="00AC6FAF"/>
    <w:rsid w:val="00B120F2"/>
    <w:rsid w:val="00BB01B8"/>
    <w:rsid w:val="00BB10D0"/>
    <w:rsid w:val="00C37A0E"/>
    <w:rsid w:val="00C625F3"/>
    <w:rsid w:val="00C97EDF"/>
    <w:rsid w:val="00DC6B48"/>
    <w:rsid w:val="00E93F00"/>
    <w:rsid w:val="00EF56DE"/>
    <w:rsid w:val="00F14D13"/>
    <w:rsid w:val="00F37591"/>
    <w:rsid w:val="00F9312E"/>
    <w:rsid w:val="083749E7"/>
    <w:rsid w:val="0DE528CD"/>
    <w:rsid w:val="0F7E7BA0"/>
    <w:rsid w:val="1519119D"/>
    <w:rsid w:val="18725427"/>
    <w:rsid w:val="263C173A"/>
    <w:rsid w:val="2CA33441"/>
    <w:rsid w:val="2CE55C20"/>
    <w:rsid w:val="2F287302"/>
    <w:rsid w:val="30426D13"/>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qFormat/>
    <w:uiPriority w:val="99"/>
    <w:pPr>
      <w:ind w:firstLine="588" w:firstLineChars="200"/>
    </w:pPr>
    <w:rPr>
      <w:rFonts w:ascii="仿宋_GB2312" w:hAnsi="Calibri" w:eastAsia="仿宋_GB2312"/>
      <w:sz w:val="32"/>
    </w:rPr>
  </w:style>
  <w:style w:type="paragraph" w:styleId="3">
    <w:name w:val="footer"/>
    <w:basedOn w:val="1"/>
    <w:link w:val="8"/>
    <w:uiPriority w:val="99"/>
    <w:pPr>
      <w:tabs>
        <w:tab w:val="center" w:pos="4153"/>
        <w:tab w:val="right" w:pos="8306"/>
      </w:tabs>
      <w:snapToGrid w:val="0"/>
      <w:jc w:val="left"/>
    </w:pPr>
    <w:rPr>
      <w:kern w:val="0"/>
      <w:sz w:val="18"/>
      <w:szCs w:val="18"/>
    </w:rPr>
  </w:style>
  <w:style w:type="character" w:styleId="6">
    <w:name w:val="page number"/>
    <w:basedOn w:val="5"/>
    <w:uiPriority w:val="99"/>
    <w:rPr>
      <w:rFonts w:cs="Times New Roman"/>
    </w:rPr>
  </w:style>
  <w:style w:type="character" w:customStyle="1" w:styleId="7">
    <w:name w:val="Body Text Indent 2 Char"/>
    <w:basedOn w:val="5"/>
    <w:link w:val="2"/>
    <w:semiHidden/>
    <w:qFormat/>
    <w:locked/>
    <w:uiPriority w:val="99"/>
    <w:rPr>
      <w:rFonts w:cs="Times New Roman"/>
      <w:sz w:val="24"/>
      <w:szCs w:val="24"/>
    </w:rPr>
  </w:style>
  <w:style w:type="character" w:customStyle="1" w:styleId="8">
    <w:name w:val="Footer Char"/>
    <w:basedOn w:val="5"/>
    <w:link w:val="3"/>
    <w:semiHidden/>
    <w:qFormat/>
    <w:locked/>
    <w:uiPriority w:val="99"/>
    <w:rPr>
      <w:rFonts w:cs="Times New Roman"/>
      <w:sz w:val="18"/>
      <w:szCs w:val="18"/>
    </w:rPr>
  </w:style>
  <w:style w:type="character" w:customStyle="1" w:styleId="9">
    <w:name w:val="标题 3 Char Char"/>
    <w:qFormat/>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20</Pages>
  <Words>1612</Words>
  <Characters>9189</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2020-12-10T00:55:32Z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