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72"/>
          <w:szCs w:val="84"/>
        </w:rPr>
      </w:pPr>
    </w:p>
    <w:p>
      <w:pPr>
        <w:jc w:val="center"/>
        <w:rPr>
          <w:rFonts w:ascii="方正小标宋简体" w:eastAsia="方正小标宋简体"/>
          <w:sz w:val="72"/>
          <w:szCs w:val="84"/>
        </w:rPr>
      </w:pPr>
    </w:p>
    <w:p>
      <w:pPr>
        <w:jc w:val="center"/>
        <w:rPr>
          <w:rFonts w:ascii="方正小标宋简体" w:eastAsia="方正小标宋简体"/>
          <w:sz w:val="56"/>
          <w:szCs w:val="84"/>
        </w:rPr>
      </w:pPr>
      <w:r>
        <w:rPr>
          <w:rFonts w:hint="eastAsia" w:ascii="方正小标宋简体" w:eastAsia="方正小标宋简体"/>
          <w:sz w:val="56"/>
          <w:szCs w:val="84"/>
        </w:rPr>
        <w:t>“我要办理不动产登记（互换）”</w:t>
      </w:r>
    </w:p>
    <w:p>
      <w:pPr>
        <w:jc w:val="center"/>
        <w:rPr>
          <w:rFonts w:ascii="方正小标宋简体" w:eastAsia="方正小标宋简体"/>
          <w:sz w:val="56"/>
          <w:szCs w:val="84"/>
        </w:rPr>
      </w:pPr>
      <w:r>
        <w:rPr>
          <w:rFonts w:hint="eastAsia" w:ascii="方正小标宋简体" w:eastAsia="方正小标宋简体"/>
          <w:sz w:val="56"/>
          <w:szCs w:val="84"/>
        </w:rPr>
        <w:t>“一次办”套餐服务规程</w:t>
      </w:r>
    </w:p>
    <w:p>
      <w:pPr>
        <w:jc w:val="center"/>
        <w:rPr>
          <w:b/>
          <w:sz w:val="48"/>
          <w:szCs w:val="56"/>
        </w:rPr>
      </w:pPr>
    </w:p>
    <w:p>
      <w:pPr>
        <w:jc w:val="center"/>
        <w:rPr>
          <w:b/>
          <w:sz w:val="48"/>
          <w:szCs w:val="56"/>
        </w:rPr>
      </w:pP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（互换）</w:t>
      </w: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lang w:eastAsia="zh-CN"/>
        </w:rPr>
        <w:t>县</w:t>
      </w:r>
      <w:r>
        <w:rPr>
          <w:rFonts w:hint="eastAsia"/>
          <w:b/>
          <w:sz w:val="52"/>
          <w:szCs w:val="84"/>
        </w:rPr>
        <w:t>政务服务中心</w:t>
      </w:r>
    </w:p>
    <w:p>
      <w:pPr>
        <w:tabs>
          <w:tab w:val="left" w:pos="5370"/>
        </w:tabs>
        <w:jc w:val="center"/>
        <w:rPr>
          <w:b/>
          <w:sz w:val="32"/>
          <w:szCs w:val="44"/>
        </w:rPr>
      </w:pPr>
      <w:r>
        <w:rPr>
          <w:rFonts w:hint="eastAsia"/>
          <w:b/>
          <w:sz w:val="52"/>
          <w:szCs w:val="84"/>
        </w:rPr>
        <w:t>2019年</w:t>
      </w:r>
      <w:r>
        <w:rPr>
          <w:rFonts w:hint="eastAsia"/>
          <w:b/>
          <w:sz w:val="52"/>
          <w:szCs w:val="84"/>
          <w:lang w:val="en-US" w:eastAsia="zh-CN"/>
        </w:rPr>
        <w:t>6</w:t>
      </w:r>
      <w:bookmarkStart w:id="0" w:name="_GoBack"/>
      <w:bookmarkEnd w:id="0"/>
      <w:r>
        <w:rPr>
          <w:rFonts w:hint="eastAsia"/>
          <w:b/>
          <w:sz w:val="52"/>
          <w:szCs w:val="84"/>
        </w:rPr>
        <w:t>月</w:t>
      </w:r>
    </w:p>
    <w:p>
      <w:pPr>
        <w:tabs>
          <w:tab w:val="left" w:pos="5370"/>
        </w:tabs>
        <w:jc w:val="center"/>
        <w:rPr>
          <w:b/>
          <w:color w:val="000000"/>
          <w:sz w:val="44"/>
          <w:szCs w:val="44"/>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 xml:space="preserve"> “我要办理不动产登记（互换）”</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spacing w:line="360" w:lineRule="auto"/>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“我要办理不动产登记（互换）”套餐服务</w:t>
      </w:r>
    </w:p>
    <w:p>
      <w:pPr>
        <w:spacing w:line="360" w:lineRule="auto"/>
        <w:rPr>
          <w:rFonts w:ascii="黑体" w:hAnsi="黑体" w:eastAsia="黑体" w:cs="宋体"/>
          <w:sz w:val="32"/>
          <w:szCs w:val="32"/>
        </w:rPr>
      </w:pPr>
      <w:r>
        <w:rPr>
          <w:rFonts w:hint="eastAsia" w:ascii="黑体" w:hAnsi="黑体" w:eastAsia="黑体" w:cs="宋体"/>
          <w:b/>
          <w:bCs/>
          <w:sz w:val="32"/>
          <w:szCs w:val="32"/>
        </w:rPr>
        <w:t>二、办理类型：</w:t>
      </w:r>
      <w:r>
        <w:rPr>
          <w:rFonts w:hint="eastAsia" w:ascii="仿宋" w:hAnsi="仿宋" w:eastAsia="仿宋" w:cs="仿宋"/>
          <w:sz w:val="32"/>
          <w:szCs w:val="32"/>
        </w:rPr>
        <w:t>互换</w:t>
      </w:r>
    </w:p>
    <w:p>
      <w:pPr>
        <w:spacing w:line="360" w:lineRule="auto"/>
        <w:rPr>
          <w:rFonts w:hint="eastAsia" w:ascii="仿宋_GB2312" w:hAnsi="仿宋_GB2312" w:eastAsia="仿宋_GB2312" w:cs="仿宋_GB2312"/>
          <w:sz w:val="32"/>
          <w:szCs w:val="32"/>
          <w:lang w:eastAsia="zh-CN"/>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lang w:eastAsia="zh-CN"/>
        </w:rPr>
        <w:t>全县范围</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四、套餐服务联办事项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（一）申请转移登记；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（二）档案查询窗口查询产权；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（三）缴纳商品房各项税费；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（四）出具“不动产登记证”。</w:t>
      </w:r>
    </w:p>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eastAsia="zh-CN"/>
        </w:rPr>
        <w:t>华容县</w:t>
      </w:r>
      <w:r>
        <w:rPr>
          <w:rFonts w:hint="eastAsia" w:ascii="仿宋_GB2312" w:hAnsi="仿宋_GB2312" w:eastAsia="仿宋_GB2312" w:cs="仿宋_GB2312"/>
          <w:color w:val="000000"/>
          <w:sz w:val="32"/>
          <w:szCs w:val="32"/>
          <w:shd w:val="clear" w:color="auto" w:fill="FFFFFF"/>
        </w:rPr>
        <w:t>政务服务中心二楼“不动产登记一次办”综合窗口。</w:t>
      </w:r>
    </w:p>
    <w:p>
      <w:pPr>
        <w:spacing w:line="360" w:lineRule="auto"/>
        <w:rPr>
          <w:rFonts w:ascii="黑体" w:hAnsi="黑体" w:eastAsia="黑体" w:cs="宋体"/>
          <w:b/>
          <w:bCs/>
          <w:sz w:val="32"/>
          <w:szCs w:val="32"/>
        </w:rPr>
      </w:pPr>
      <w:r>
        <w:rPr>
          <w:rFonts w:hint="eastAsia" w:ascii="黑体" w:hAnsi="黑体" w:eastAsia="黑体" w:cs="宋体"/>
          <w:b/>
          <w:bCs/>
          <w:sz w:val="32"/>
          <w:szCs w:val="32"/>
        </w:rPr>
        <w:t>六、审批联办窗口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不动产登记窗口，税务窗口，国土资源档案查询窗口。</w:t>
      </w:r>
    </w:p>
    <w:p>
      <w:pPr>
        <w:spacing w:line="360" w:lineRule="auto"/>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宋体"/>
          <w:b/>
          <w:sz w:val="32"/>
          <w:szCs w:val="32"/>
        </w:rPr>
        <w:sectPr>
          <w:footerReference r:id="rId3" w:type="default"/>
          <w:pgSz w:w="11906" w:h="16838"/>
          <w:pgMar w:top="1440" w:right="1803" w:bottom="1440" w:left="1803" w:header="851" w:footer="992" w:gutter="0"/>
          <w:cols w:space="720" w:num="1"/>
          <w:docGrid w:linePitch="319" w:charSpace="0"/>
        </w:sectPr>
      </w:pPr>
    </w:p>
    <w:p>
      <w:pPr>
        <w:rPr>
          <w:rFonts w:ascii="黑体" w:hAnsi="黑体" w:eastAsia="黑体" w:cs="宋体"/>
          <w:b/>
          <w:sz w:val="32"/>
          <w:szCs w:val="32"/>
        </w:rPr>
      </w:pPr>
      <w:r>
        <w:rPr>
          <w:rFonts w:hint="eastAsia" w:ascii="黑体" w:hAnsi="黑体" w:eastAsia="黑体" w:cs="宋体"/>
          <w:b/>
          <w:sz w:val="32"/>
          <w:szCs w:val="32"/>
        </w:rPr>
        <w:t>七、材料清单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92"/>
        <w:gridCol w:w="265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涉及</w:t>
            </w:r>
          </w:p>
          <w:p>
            <w:pPr>
              <w:jc w:val="center"/>
              <w:rPr>
                <w:rFonts w:ascii="宋体" w:hAnsi="宋体" w:cs="宋体"/>
                <w:b/>
                <w:color w:val="000000"/>
                <w:sz w:val="22"/>
                <w:szCs w:val="21"/>
              </w:rPr>
            </w:pPr>
            <w:r>
              <w:rPr>
                <w:rFonts w:hint="eastAsia" w:ascii="宋体" w:hAnsi="宋体" w:cs="宋体"/>
                <w:b/>
                <w:color w:val="000000"/>
                <w:sz w:val="22"/>
                <w:szCs w:val="21"/>
              </w:rPr>
              <w:t>名称</w:t>
            </w:r>
          </w:p>
        </w:tc>
        <w:tc>
          <w:tcPr>
            <w:tcW w:w="492"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序号</w:t>
            </w:r>
          </w:p>
        </w:tc>
        <w:tc>
          <w:tcPr>
            <w:tcW w:w="2652"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申请材料</w:t>
            </w:r>
          </w:p>
        </w:tc>
        <w:tc>
          <w:tcPr>
            <w:tcW w:w="1290"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材料来源</w:t>
            </w:r>
          </w:p>
        </w:tc>
        <w:tc>
          <w:tcPr>
            <w:tcW w:w="540"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份数</w:t>
            </w:r>
          </w:p>
        </w:tc>
        <w:tc>
          <w:tcPr>
            <w:tcW w:w="4215"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各类情形</w:t>
            </w:r>
          </w:p>
        </w:tc>
        <w:tc>
          <w:tcPr>
            <w:tcW w:w="4301"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申请不动产登记</w:t>
            </w: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不动产登记申请书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申请书需要互换相关权利人签字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申请人身份材料或代理人身份材料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1.境内自然人：居民身份证、军官证、士官证；身份证遗失的，提交临时身份证。未成年人提交居民身份证或户口薄；</w:t>
            </w:r>
          </w:p>
          <w:p>
            <w:pPr>
              <w:rPr>
                <w:rFonts w:ascii="宋体" w:hAnsi="宋体" w:cs="宋体"/>
                <w:color w:val="000000"/>
                <w:szCs w:val="21"/>
              </w:rPr>
            </w:pPr>
            <w:r>
              <w:rPr>
                <w:rFonts w:hint="eastAsia" w:ascii="宋体" w:hAnsi="宋体" w:cs="宋体"/>
                <w:color w:val="000000"/>
                <w:szCs w:val="21"/>
              </w:rPr>
              <w:t>2.香港、澳门特别行政区自然人：提交香港、澳门特别行政区居民身份证、护照，或者来往内地通行证；</w:t>
            </w:r>
          </w:p>
          <w:p>
            <w:pPr>
              <w:rPr>
                <w:rFonts w:ascii="宋体" w:hAnsi="宋体" w:cs="宋体"/>
                <w:color w:val="000000"/>
                <w:szCs w:val="21"/>
              </w:rPr>
            </w:pPr>
            <w:r>
              <w:rPr>
                <w:rFonts w:hint="eastAsia" w:ascii="宋体" w:hAnsi="宋体" w:cs="宋体"/>
                <w:color w:val="000000"/>
                <w:szCs w:val="21"/>
              </w:rPr>
              <w:t>3.台湾地区自然人:提交台湾居民来往大陆通行证；</w:t>
            </w:r>
          </w:p>
          <w:p>
            <w:pPr>
              <w:rPr>
                <w:rFonts w:ascii="宋体" w:hAnsi="宋体" w:cs="宋体"/>
                <w:color w:val="000000"/>
                <w:szCs w:val="21"/>
              </w:rPr>
            </w:pPr>
            <w:r>
              <w:rPr>
                <w:rFonts w:hint="eastAsia" w:ascii="宋体" w:hAnsi="宋体" w:cs="宋体"/>
                <w:color w:val="000000"/>
                <w:szCs w:val="21"/>
              </w:rPr>
              <w:t>4.华侨：提交中华人民共和国护照和国外长期居留身份证件；</w:t>
            </w:r>
          </w:p>
          <w:p>
            <w:pPr>
              <w:rPr>
                <w:rFonts w:ascii="宋体" w:hAnsi="宋体" w:cs="宋体"/>
                <w:color w:val="000000"/>
                <w:szCs w:val="21"/>
              </w:rPr>
            </w:pPr>
            <w:r>
              <w:rPr>
                <w:rFonts w:hint="eastAsia" w:ascii="宋体" w:hAnsi="宋体" w:cs="宋体"/>
                <w:color w:val="000000"/>
                <w:szCs w:val="21"/>
              </w:rPr>
              <w:t>5.外籍自然人：中国政府主管机关签发的居留证件，或者其所在国护照；</w:t>
            </w:r>
          </w:p>
          <w:p>
            <w:pPr>
              <w:rPr>
                <w:rFonts w:ascii="宋体" w:hAnsi="宋体" w:cs="宋体"/>
                <w:color w:val="000000"/>
                <w:szCs w:val="21"/>
              </w:rPr>
            </w:pPr>
            <w:r>
              <w:rPr>
                <w:rFonts w:hint="eastAsia" w:ascii="宋体" w:hAnsi="宋体" w:cs="宋体"/>
                <w:color w:val="000000"/>
                <w:szCs w:val="21"/>
              </w:rPr>
              <w:t>6.境内法人或其他组织：营业执照或者组织机构代码证，或者其他身份证明；</w:t>
            </w:r>
          </w:p>
          <w:p>
            <w:pPr>
              <w:rPr>
                <w:rFonts w:ascii="宋体" w:hAnsi="宋体" w:cs="宋体"/>
                <w:color w:val="000000"/>
                <w:szCs w:val="21"/>
              </w:rPr>
            </w:pPr>
            <w:r>
              <w:rPr>
                <w:rFonts w:hint="eastAsia" w:ascii="宋体" w:hAnsi="宋体" w:cs="宋体"/>
                <w:color w:val="000000"/>
                <w:szCs w:val="21"/>
              </w:rPr>
              <w:t>7.香港特别行政区、澳门特别行政区、台湾地区的法人或其他组织：提交其在境内设立分支机构或代表机构的批准文件和注册证明；</w:t>
            </w:r>
          </w:p>
          <w:p>
            <w:pPr>
              <w:rPr>
                <w:rFonts w:ascii="宋体" w:hAnsi="宋体" w:cs="宋体"/>
                <w:color w:val="000000"/>
                <w:szCs w:val="21"/>
              </w:rPr>
            </w:pPr>
            <w:r>
              <w:rPr>
                <w:rFonts w:hint="eastAsia" w:ascii="宋体" w:hAnsi="宋体" w:cs="宋体"/>
                <w:color w:val="000000"/>
                <w:szCs w:val="21"/>
              </w:rPr>
              <w:t>8.境外法人或其他组织：提交其在境内设立分支机构或代表机构的批准文件和注册证明。</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1.本人来申请的需提交身份证明材料原件，窗口核对原件收复印件；</w:t>
            </w:r>
          </w:p>
          <w:p>
            <w:pPr>
              <w:rPr>
                <w:rFonts w:ascii="宋体" w:hAnsi="宋体" w:cs="宋体"/>
                <w:color w:val="000000"/>
                <w:szCs w:val="21"/>
              </w:rPr>
            </w:pPr>
            <w:r>
              <w:rPr>
                <w:rFonts w:hint="eastAsia" w:ascii="宋体" w:hAnsi="宋体" w:cs="宋体"/>
                <w:color w:val="000000"/>
                <w:szCs w:val="21"/>
              </w:rPr>
              <w:t>2.代理人来窗口代理申请的需提交代理人身份证明材料原件，窗口核对原件收复印件。</w:t>
            </w:r>
          </w:p>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权籍调查</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4215" w:type="dxa"/>
            <w:tcMar>
              <w:top w:w="0" w:type="dxa"/>
              <w:left w:w="0" w:type="dxa"/>
              <w:bottom w:w="0" w:type="dxa"/>
              <w:right w:w="0" w:type="dxa"/>
            </w:tcMar>
            <w:vAlign w:val="center"/>
          </w:tcPr>
          <w:p>
            <w:pPr>
              <w:pStyle w:val="10"/>
              <w:numPr>
                <w:ilvl w:val="0"/>
                <w:numId w:val="1"/>
              </w:numPr>
              <w:ind w:firstLineChars="0"/>
              <w:rPr>
                <w:rFonts w:ascii="宋体" w:hAnsi="宋体" w:cs="宋体"/>
                <w:color w:val="000000"/>
                <w:szCs w:val="21"/>
              </w:rPr>
            </w:pPr>
            <w:r>
              <w:rPr>
                <w:rFonts w:hint="eastAsia" w:ascii="宋体" w:hAnsi="宋体" w:cs="宋体"/>
                <w:color w:val="000000"/>
                <w:szCs w:val="21"/>
              </w:rPr>
              <w:t>未落宗的交房产证、国土证，身份证，婚姻状况证明，实地调查落宗后出宗地图和房屋平面图；</w:t>
            </w:r>
          </w:p>
          <w:p>
            <w:pPr>
              <w:pStyle w:val="10"/>
              <w:numPr>
                <w:ilvl w:val="0"/>
                <w:numId w:val="1"/>
              </w:numPr>
              <w:ind w:firstLineChars="0"/>
              <w:rPr>
                <w:rFonts w:ascii="宋体" w:hAnsi="宋体" w:cs="宋体"/>
                <w:color w:val="000000"/>
                <w:szCs w:val="21"/>
              </w:rPr>
            </w:pPr>
            <w:r>
              <w:rPr>
                <w:rFonts w:hint="eastAsia" w:ascii="宋体" w:hAnsi="宋体" w:cs="宋体"/>
                <w:color w:val="000000"/>
                <w:szCs w:val="21"/>
              </w:rPr>
              <w:t>已落宗的房屋凭身份证和婚姻状况证明材料，持房产证、国土证或不动产证原件现场出具宗地图和房屋平面图。</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宗地图和房屋平面图各两份原件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委托代理书或公证书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b/>
                <w:color w:val="000000"/>
                <w:szCs w:val="21"/>
              </w:rPr>
            </w:pPr>
            <w:r>
              <w:rPr>
                <w:rFonts w:hint="eastAsia" w:ascii="宋体" w:hAnsi="宋体" w:cs="宋体"/>
                <w:b/>
                <w:color w:val="000000"/>
                <w:szCs w:val="21"/>
              </w:rPr>
              <w:t>双方不能前来办理，委托办理的情形：</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共同产权人对产权划分有详细要求的需提供委托公证书。</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无法到场的必须持公证处出具的委托公证书到窗口办理。</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不动产权属证书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ind w:left="360" w:firstLine="0" w:firstLineChars="0"/>
              <w:rPr>
                <w:rFonts w:ascii="宋体" w:hAnsi="宋体" w:cs="宋体"/>
                <w:color w:val="000000"/>
                <w:szCs w:val="21"/>
              </w:rPr>
            </w:pPr>
            <w:r>
              <w:rPr>
                <w:rFonts w:hint="eastAsia" w:ascii="宋体" w:hAnsi="宋体" w:cs="宋体"/>
                <w:color w:val="000000"/>
                <w:szCs w:val="21"/>
              </w:rPr>
              <w:t>仅有房产证无国土证的，需原产权单位配合办理国土手续。</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房产证、国土证或不动产权证书原件。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互换合同</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color w:val="000000"/>
                <w:sz w:val="22"/>
                <w:szCs w:val="22"/>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互换合同原件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遗失补证材料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ind w:left="360" w:firstLine="0" w:firstLineChars="0"/>
              <w:rPr>
                <w:b/>
                <w:color w:val="000000"/>
                <w:sz w:val="22"/>
                <w:szCs w:val="22"/>
              </w:rPr>
            </w:pPr>
            <w:r>
              <w:rPr>
                <w:rFonts w:hint="eastAsia"/>
                <w:b/>
                <w:color w:val="000000"/>
                <w:sz w:val="22"/>
                <w:szCs w:val="22"/>
              </w:rPr>
              <w:t>属遗失补证情形的：</w:t>
            </w:r>
          </w:p>
          <w:p>
            <w:pPr>
              <w:pStyle w:val="10"/>
              <w:numPr>
                <w:ilvl w:val="0"/>
                <w:numId w:val="3"/>
              </w:numPr>
              <w:ind w:firstLineChars="0"/>
              <w:rPr>
                <w:color w:val="000000"/>
                <w:sz w:val="22"/>
                <w:szCs w:val="22"/>
              </w:rPr>
            </w:pPr>
            <w:r>
              <w:rPr>
                <w:rFonts w:hint="eastAsia"/>
                <w:color w:val="000000"/>
                <w:sz w:val="22"/>
                <w:szCs w:val="22"/>
              </w:rPr>
              <w:t>调取房产、国土档案；</w:t>
            </w:r>
          </w:p>
          <w:p>
            <w:pPr>
              <w:pStyle w:val="10"/>
              <w:numPr>
                <w:ilvl w:val="0"/>
                <w:numId w:val="3"/>
              </w:numPr>
              <w:ind w:firstLineChars="0"/>
              <w:rPr>
                <w:color w:val="auto"/>
                <w:sz w:val="22"/>
                <w:szCs w:val="22"/>
              </w:rPr>
            </w:pPr>
            <w:r>
              <w:rPr>
                <w:rFonts w:hint="eastAsia"/>
                <w:color w:val="auto"/>
                <w:sz w:val="22"/>
                <w:szCs w:val="22"/>
                <w:lang w:eastAsia="zh-CN"/>
              </w:rPr>
              <w:t>报社登报或自然部门部门门户网站进行遗失公告</w:t>
            </w:r>
            <w:r>
              <w:rPr>
                <w:rFonts w:hint="eastAsia"/>
                <w:color w:val="auto"/>
                <w:sz w:val="22"/>
                <w:szCs w:val="22"/>
              </w:rPr>
              <w:t>；</w:t>
            </w:r>
          </w:p>
          <w:p>
            <w:pPr>
              <w:pStyle w:val="10"/>
              <w:numPr>
                <w:ilvl w:val="0"/>
                <w:numId w:val="3"/>
              </w:numPr>
              <w:ind w:left="360" w:leftChars="0" w:hanging="360" w:firstLineChars="0"/>
              <w:rPr>
                <w:color w:val="000000"/>
                <w:sz w:val="22"/>
                <w:szCs w:val="22"/>
              </w:rPr>
            </w:pPr>
            <w:r>
              <w:rPr>
                <w:rFonts w:hint="eastAsia"/>
                <w:color w:val="auto"/>
                <w:sz w:val="22"/>
                <w:szCs w:val="22"/>
              </w:rPr>
              <w:t>15个工作日后持</w:t>
            </w:r>
            <w:r>
              <w:rPr>
                <w:rFonts w:hint="eastAsia"/>
                <w:color w:val="auto"/>
                <w:sz w:val="22"/>
                <w:szCs w:val="22"/>
                <w:lang w:eastAsia="zh-CN"/>
              </w:rPr>
              <w:t>遗失登报的报纸原件或门户网站遗失公网页打印件</w:t>
            </w:r>
            <w:r>
              <w:rPr>
                <w:rFonts w:hint="eastAsia"/>
                <w:color w:val="auto"/>
                <w:sz w:val="22"/>
                <w:szCs w:val="22"/>
              </w:rPr>
              <w:t>申请遗失补证登记。</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遗失补证的材料原件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税收征（免）凭证</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hint="eastAsia" w:ascii="宋体" w:hAnsi="宋体" w:cs="宋体"/>
                <w:color w:val="000000"/>
                <w:szCs w:val="21"/>
              </w:rPr>
            </w:pPr>
            <w:r>
              <w:rPr>
                <w:rFonts w:hint="eastAsia" w:ascii="宋体" w:hAnsi="宋体" w:cs="宋体"/>
                <w:color w:val="000000"/>
                <w:szCs w:val="21"/>
              </w:rPr>
              <w:t>1.家庭购买首套或第二套住房享受契税优惠的，需提供申请人的家庭婚姻证件或</w:t>
            </w:r>
            <w:r>
              <w:rPr>
                <w:rFonts w:hint="eastAsia" w:ascii="宋体" w:hAnsi="宋体" w:cs="宋体"/>
                <w:color w:val="000000"/>
                <w:szCs w:val="21"/>
                <w:lang w:eastAsia="zh-CN"/>
              </w:rPr>
              <w:t>同一户口本或个人婚姻状况承诺书及未成年子女户口本</w:t>
            </w:r>
            <w:r>
              <w:rPr>
                <w:rFonts w:hint="eastAsia" w:ascii="宋体" w:hAnsi="宋体" w:cs="宋体"/>
                <w:color w:val="000000"/>
                <w:szCs w:val="21"/>
              </w:rPr>
              <w:t>。</w:t>
            </w:r>
          </w:p>
          <w:p>
            <w:pPr>
              <w:rPr>
                <w:rFonts w:ascii="宋体" w:hAnsi="宋体" w:cs="宋体"/>
                <w:color w:val="000000"/>
                <w:szCs w:val="21"/>
              </w:rPr>
            </w:pPr>
            <w:r>
              <w:rPr>
                <w:rFonts w:hint="eastAsia" w:ascii="宋体" w:hAnsi="宋体" w:cs="宋体"/>
                <w:color w:val="000000"/>
                <w:szCs w:val="21"/>
              </w:rPr>
              <w:t>2.棚改、重点工程项目拆迁户重新购房享受契税优惠的，提供下列征拆证明资料原件及复印件：土地、房屋被政府征用、占用的协议文书原件及复印件；单位或个人的身份证明原件；★特别提示：征收协议签订人与补偿款重新购房人非同一人的，需提供下列与被征收房屋产权关联的证明：棚改户提供征拆项目部盖章的《货币化安置证明登记表》；重点工程征收集体土地上的房屋提供征拆项目部盖章的《安置动迁人口认定表》。</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购房发票、契税凭证原件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10</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不动产询问记录</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申请人对产权的详细划分需在问询表里注明，共同产权人需到场签字认证，代理人的需到场签字认证。</w:t>
            </w:r>
          </w:p>
        </w:tc>
        <w:tc>
          <w:tcPr>
            <w:tcW w:w="4301" w:type="dxa"/>
            <w:tcMar>
              <w:top w:w="0" w:type="dxa"/>
              <w:left w:w="0" w:type="dxa"/>
              <w:bottom w:w="0" w:type="dxa"/>
              <w:right w:w="0" w:type="dxa"/>
            </w:tcMar>
            <w:vAlign w:val="center"/>
          </w:tcPr>
          <w:p>
            <w:pPr>
              <w:rPr>
                <w:rFonts w:ascii="宋体" w:hAnsi="宋体" w:cs="宋体"/>
                <w:color w:val="000000"/>
                <w:szCs w:val="21"/>
              </w:rPr>
            </w:pP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八、联合办理基本流程（一图）</w:t>
      </w:r>
    </w:p>
    <w:p>
      <w:pPr>
        <w:jc w:val="center"/>
        <w:rPr>
          <w:b/>
          <w:bCs/>
          <w:sz w:val="36"/>
          <w:szCs w:val="36"/>
        </w:rPr>
      </w:pPr>
      <w:r>
        <w:rPr>
          <w:rFonts w:hint="eastAsia"/>
          <w:b/>
          <w:bCs/>
          <w:sz w:val="36"/>
          <w:szCs w:val="36"/>
        </w:rPr>
        <w:t xml:space="preserve">  “我要办理不动产登记（</w:t>
      </w:r>
      <w:r>
        <w:rPr>
          <w:rFonts w:hint="eastAsia" w:asciiTheme="minorEastAsia" w:hAnsiTheme="minorEastAsia" w:eastAsiaTheme="minorEastAsia"/>
          <w:b/>
          <w:sz w:val="28"/>
          <w:szCs w:val="28"/>
        </w:rPr>
        <w:t>互换</w:t>
      </w:r>
      <w:r>
        <w:rPr>
          <w:rFonts w:hint="eastAsia"/>
          <w:b/>
          <w:bCs/>
          <w:sz w:val="36"/>
          <w:szCs w:val="36"/>
        </w:rPr>
        <w:t>）”一件事流程图</w:t>
      </w:r>
    </w:p>
    <w:p>
      <w:pPr>
        <w:jc w:val="center"/>
        <w:rPr>
          <w:b/>
          <w:bCs/>
          <w:sz w:val="36"/>
          <w:szCs w:val="36"/>
        </w:rPr>
      </w:pPr>
      <w:r>
        <w:rPr>
          <w:rFonts w:hint="eastAsia"/>
          <w:sz w:val="28"/>
          <w:szCs w:val="28"/>
        </w:rPr>
        <w:t>（时限：5个工作日）</w:t>
      </w:r>
    </w:p>
    <w:p>
      <w:pPr>
        <w:rPr>
          <w:rFonts w:cs="Calibri"/>
          <w:sz w:val="32"/>
          <w:szCs w:val="32"/>
        </w:rPr>
      </w:pPr>
    </w:p>
    <w:p>
      <w:pPr>
        <w:rPr>
          <w:rFonts w:cs="Calibri"/>
          <w:sz w:val="32"/>
          <w:szCs w:val="32"/>
        </w:rPr>
      </w:pPr>
    </w:p>
    <w:p>
      <w:pPr>
        <w:rPr>
          <w:rFonts w:cs="Calibri"/>
          <w:sz w:val="32"/>
          <w:szCs w:val="32"/>
        </w:rPr>
      </w:pPr>
      <w:r>
        <w:rPr>
          <w:sz w:val="32"/>
        </w:rPr>
        <w:pict>
          <v:shape id="_x0000_s2050" o:spid="_x0000_s2050" o:spt="176" type="#_x0000_t176" style="position:absolute;left:0pt;margin-left:183.2pt;margin-top:3.5pt;height:24.75pt;width:40.45pt;z-index:253981696;mso-width-relative:page;mso-height-relative:page;" fillcolor="#FFFFFF" filled="t" stroked="t" coordsize="21600,21600" adj="2700">
            <v:path/>
            <v:fill on="t" color2="#FFFFFF" focussize="0,0"/>
            <v:stroke color="#000000" joinstyle="miter"/>
            <v:imagedata o:title=""/>
            <o:lock v:ext="edit" aspectratio="f"/>
            <v:textbox>
              <w:txbxContent>
                <w:p>
                  <w:pPr>
                    <w:jc w:val="center"/>
                    <w:rPr>
                      <w:szCs w:val="21"/>
                    </w:rPr>
                  </w:pPr>
                  <w:r>
                    <w:rPr>
                      <w:rFonts w:hint="eastAsia"/>
                      <w:szCs w:val="21"/>
                    </w:rPr>
                    <w:t>开始</w:t>
                  </w:r>
                </w:p>
              </w:txbxContent>
            </v:textbox>
          </v:shape>
        </w:pict>
      </w:r>
    </w:p>
    <w:p>
      <w:pPr>
        <w:rPr>
          <w:rFonts w:cs="Calibri"/>
          <w:sz w:val="32"/>
          <w:szCs w:val="32"/>
        </w:rPr>
      </w:pPr>
      <w:r>
        <w:rPr>
          <w:sz w:val="32"/>
        </w:rPr>
        <w:pict>
          <v:line id="_x0000_s2051" o:spid="_x0000_s2051" o:spt="20" style="position:absolute;left:0pt;flip:x;margin-left:203.95pt;margin-top:10.4pt;height:18.4pt;width:0pt;z-index:25402675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52" o:spid="_x0000_s2052" o:spt="202" type="#_x0000_t202" style="position:absolute;left:0pt;margin-left:94.25pt;margin-top:12.8pt;height:21.75pt;width:217.9pt;z-index:253983744;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到综合窗口提交房屋转移登记资料</w:t>
                  </w:r>
                </w:p>
              </w:txbxContent>
            </v:textbox>
          </v:shape>
        </w:pict>
      </w:r>
    </w:p>
    <w:p>
      <w:pPr>
        <w:rPr>
          <w:rFonts w:cs="Calibri"/>
          <w:sz w:val="32"/>
          <w:szCs w:val="32"/>
        </w:rPr>
      </w:pPr>
      <w:r>
        <w:rPr>
          <w:sz w:val="32"/>
        </w:rPr>
        <w:pict>
          <v:line id="_x0000_s2053" o:spid="_x0000_s2053" o:spt="20" style="position:absolute;left:0pt;margin-left:203.35pt;margin-top:15.05pt;height:13.15pt;width:0pt;z-index:254007296;mso-width-relative:page;mso-height-relative:page;" filled="f" stroked="t" coordsize="21600,21600">
            <v:path arrowok="t"/>
            <v:fill on="f" focussize="0,0"/>
            <v:stroke color="#000000"/>
            <v:imagedata o:title=""/>
            <o:lock v:ext="edit" aspectratio="f"/>
          </v:line>
        </w:pict>
      </w:r>
    </w:p>
    <w:p>
      <w:pPr>
        <w:rPr>
          <w:rFonts w:cs="Calibri"/>
          <w:sz w:val="32"/>
          <w:szCs w:val="32"/>
        </w:rPr>
      </w:pPr>
      <w:r>
        <w:rPr>
          <w:rFonts w:cs="Calibri"/>
          <w:sz w:val="32"/>
          <w:szCs w:val="32"/>
        </w:rPr>
        <w:pict>
          <v:shape id="_x0000_s2054" o:spid="_x0000_s2054" o:spt="32" type="#_x0000_t32" style="position:absolute;left:0pt;margin-left:142.4pt;margin-top:8.55pt;height:18.15pt;width:0pt;z-index:253732864;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055" o:spid="_x0000_s2055" o:spt="32" type="#_x0000_t32" style="position:absolute;left:0pt;margin-left:270.5pt;margin-top:8.35pt;height:19.95pt;width:0pt;z-index:253733888;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056" o:spid="_x0000_s2056" o:spt="32" type="#_x0000_t32" style="position:absolute;left:0pt;margin-left:141.65pt;margin-top:7.95pt;height:0.05pt;width:129.3pt;z-index:253728768;mso-width-relative:page;mso-height-relative:page;" o:connectortype="straight" filled="f" coordsize="21600,21600">
            <v:path arrowok="t"/>
            <v:fill on="f" focussize="0,0"/>
            <v:stroke/>
            <v:imagedata o:title=""/>
            <o:lock v:ext="edit"/>
          </v:shape>
        </w:pict>
      </w:r>
      <w:r>
        <w:rPr>
          <w:sz w:val="32"/>
        </w:rPr>
        <w:pict>
          <v:line id="_x0000_s2057" o:spid="_x0000_s2057" o:spt="20" style="position:absolute;left:0pt;flip:x;margin-left:386.8pt;margin-top:9.35pt;height:18.4pt;width:0pt;z-index:254029824;mso-width-relative:page;mso-height-relative:page;" filled="f" stroked="f" coordsize="21600,21600">
            <v:path arrowok="t"/>
            <v:fill on="f" focussize="0,0"/>
            <v:stroke on="f"/>
            <v:imagedata o:title=""/>
            <o:lock v:ext="edit" aspectratio="f"/>
          </v:line>
        </w:pict>
      </w:r>
    </w:p>
    <w:p>
      <w:pPr>
        <w:rPr>
          <w:rFonts w:cs="Calibri"/>
          <w:szCs w:val="32"/>
        </w:rPr>
      </w:pPr>
      <w:r>
        <w:rPr>
          <w:sz w:val="21"/>
        </w:rPr>
        <w:pict>
          <v:rect id="_x0000_s2058" o:spid="_x0000_s2058" o:spt="1" style="position:absolute;left:0pt;margin-left:38.35pt;margin-top:6.45pt;height:32.05pt;width:121.75pt;z-index:253982720;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已落宗的在权籍调查窗口</w:t>
                  </w:r>
                </w:p>
                <w:p>
                  <w:pPr>
                    <w:jc w:val="center"/>
                    <w:rPr>
                      <w:sz w:val="18"/>
                      <w:szCs w:val="18"/>
                    </w:rPr>
                  </w:pPr>
                  <w:r>
                    <w:rPr>
                      <w:rFonts w:hint="eastAsia"/>
                      <w:sz w:val="18"/>
                      <w:szCs w:val="18"/>
                    </w:rPr>
                    <w:t>出具宗地图和房屋平面图</w:t>
                  </w:r>
                </w:p>
              </w:txbxContent>
            </v:textbox>
          </v:rect>
        </w:pict>
      </w:r>
      <w:r>
        <w:rPr>
          <w:sz w:val="21"/>
        </w:rPr>
        <w:pict>
          <v:shape id="_x0000_s2059" o:spid="_x0000_s2059" o:spt="109" type="#_x0000_t109" style="position:absolute;left:0pt;margin-left:234.5pt;margin-top:7.8pt;height:33.05pt;width:170.5pt;z-index:254008320;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未落宗的需权籍调查科实地调查落宗</w:t>
                  </w:r>
                </w:p>
                <w:p>
                  <w:pPr>
                    <w:jc w:val="center"/>
                    <w:rPr>
                      <w:rFonts w:hint="eastAsia" w:eastAsia="宋体"/>
                      <w:sz w:val="18"/>
                      <w:szCs w:val="18"/>
                      <w:lang w:eastAsia="zh-CN"/>
                    </w:rPr>
                  </w:pPr>
                  <w:r>
                    <w:rPr>
                      <w:rFonts w:hint="eastAsia"/>
                      <w:sz w:val="18"/>
                      <w:szCs w:val="18"/>
                    </w:rPr>
                    <w:t>后出具宗地图</w:t>
                  </w:r>
                  <w:r>
                    <w:rPr>
                      <w:rFonts w:hint="eastAsia"/>
                      <w:sz w:val="18"/>
                      <w:szCs w:val="18"/>
                      <w:lang w:eastAsia="zh-CN"/>
                    </w:rPr>
                    <w:t>和房屋</w:t>
                  </w:r>
                  <w:r>
                    <w:rPr>
                      <w:rFonts w:hint="eastAsia"/>
                      <w:sz w:val="18"/>
                      <w:szCs w:val="18"/>
                    </w:rPr>
                    <w:t>平面图</w:t>
                  </w:r>
                </w:p>
              </w:txbxContent>
            </v:textbox>
          </v:shape>
        </w:pict>
      </w:r>
    </w:p>
    <w:p>
      <w:pPr>
        <w:rPr>
          <w:rFonts w:cs="Calibri"/>
          <w:sz w:val="32"/>
          <w:szCs w:val="32"/>
        </w:rPr>
      </w:pPr>
    </w:p>
    <w:p>
      <w:pPr>
        <w:rPr>
          <w:rFonts w:cs="Calibri"/>
          <w:sz w:val="32"/>
          <w:szCs w:val="32"/>
        </w:rPr>
      </w:pPr>
      <w:r>
        <w:rPr>
          <w:rFonts w:cs="Calibri"/>
          <w:sz w:val="32"/>
          <w:szCs w:val="32"/>
        </w:rPr>
        <w:pict>
          <v:shape id="_x0000_s2060" o:spid="_x0000_s2060" o:spt="32" type="#_x0000_t32" style="position:absolute;left:0pt;margin-left:283.9pt;margin-top:9pt;height:15pt;width:0pt;z-index:253734912;mso-width-relative:page;mso-height-relative:page;" o:connectortype="straight" filled="f" coordsize="21600,21600">
            <v:path arrowok="t"/>
            <v:fill on="f" focussize="0,0"/>
            <v:stroke/>
            <v:imagedata o:title=""/>
            <o:lock v:ext="edit"/>
          </v:shape>
        </w:pict>
      </w:r>
      <w:r>
        <w:rPr>
          <w:sz w:val="32"/>
        </w:rPr>
        <w:pict>
          <v:line id="_x0000_s2061" o:spid="_x0000_s2061" o:spt="20" style="position:absolute;left:0pt;margin-left:117.35pt;margin-top:6.4pt;height:17pt;width:0pt;z-index:254012416;mso-width-relative:page;mso-height-relative:page;" filled="f" stroked="t" coordsize="21600,21600">
            <v:path arrowok="t"/>
            <v:fill on="f" focussize="0,0"/>
            <v:stroke color="#000000"/>
            <v:imagedata o:title=""/>
            <o:lock v:ext="edit" aspectratio="f"/>
          </v:line>
        </w:pict>
      </w:r>
      <w:r>
        <w:rPr>
          <w:sz w:val="32"/>
        </w:rPr>
        <w:pict>
          <v:line id="_x0000_s2062" o:spid="_x0000_s2062" o:spt="20" style="position:absolute;left:0pt;margin-left:386.9pt;margin-top:8.7pt;height:13.15pt;width:0pt;z-index:254014464;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063" o:spid="_x0000_s2063" o:spt="20" style="position:absolute;left:0pt;flip:x;margin-left:121.4pt;margin-top:17.05pt;height:18.4pt;width:0pt;z-index:256036864;mso-width-relative:page;mso-height-relative:page;" filled="f" stroked="t" coordsize="21600,21600">
            <v:path arrowok="t"/>
            <v:fill on="f" focussize="0,0"/>
            <v:stroke color="#000000" endarrow="open"/>
            <v:imagedata o:title=""/>
            <o:lock v:ext="edit" aspectratio="f"/>
          </v:line>
        </w:pict>
      </w:r>
      <w:r>
        <w:rPr>
          <w:sz w:val="32"/>
        </w:rPr>
        <w:pict>
          <v:line id="_x0000_s2064" o:spid="_x0000_s2064" o:spt="20" style="position:absolute;left:0pt;flip:x;margin-left:203.2pt;margin-top:16.65pt;height:18.4pt;width:0pt;z-index:255053824;mso-width-relative:page;mso-height-relative:page;" filled="f" stroked="t" coordsize="21600,21600">
            <v:path arrowok="t"/>
            <v:fill on="f" focussize="0,0"/>
            <v:stroke color="#000000" endarrow="open"/>
            <v:imagedata o:title=""/>
            <o:lock v:ext="edit" aspectratio="f"/>
          </v:line>
        </w:pict>
      </w:r>
      <w:r>
        <w:rPr>
          <w:sz w:val="32"/>
        </w:rPr>
        <w:pict>
          <v:line id="_x0000_s2065" o:spid="_x0000_s2065" o:spt="20" style="position:absolute;left:0pt;flip:x;margin-left:271.65pt;margin-top:17.7pt;height:18.4pt;width:0pt;z-index:254025728;mso-width-relative:page;mso-height-relative:page;" filled="f" stroked="t" coordsize="21600,21600">
            <v:path arrowok="t"/>
            <v:fill on="f" focussize="0,0"/>
            <v:stroke color="#000000" endarrow="open"/>
            <v:imagedata o:title=""/>
            <o:lock v:ext="edit" aspectratio="f"/>
          </v:line>
        </w:pict>
      </w:r>
      <w:r>
        <w:rPr>
          <w:rFonts w:cs="Calibri"/>
          <w:sz w:val="32"/>
          <w:szCs w:val="32"/>
        </w:rPr>
        <w:pict>
          <v:shape id="_x0000_s2066" o:spid="_x0000_s2066" o:spt="32" type="#_x0000_t32" style="position:absolute;left:0pt;margin-left:121.25pt;margin-top:16.6pt;height:0.95pt;width:150.55pt;z-index:253730816;mso-width-relative:page;mso-height-relative:page;" filled="f" stroked="t" coordsize="21600,21600">
            <v:path arrowok="t"/>
            <v:fill on="f" focussize="0,0"/>
            <v:stroke color="#000000"/>
            <v:imagedata o:title=""/>
            <o:lock v:ext="edit" aspectratio="f"/>
          </v:shape>
        </w:pict>
      </w:r>
      <w:r>
        <w:rPr>
          <w:rFonts w:cs="Calibri"/>
          <w:sz w:val="32"/>
          <w:szCs w:val="32"/>
        </w:rPr>
        <w:pict>
          <v:shape id="_x0000_s2067" o:spid="_x0000_s2067" o:spt="32" type="#_x0000_t32" style="position:absolute;left:0pt;margin-left:117.3pt;margin-top:3.75pt;height:0pt;width:166.5pt;z-index:253729792;mso-width-relative:page;mso-height-relative:page;" o:connectortype="straight" filled="f" coordsize="21600,21600">
            <v:path arrowok="t"/>
            <v:fill on="f" focussize="0,0"/>
            <v:stroke/>
            <v:imagedata o:title=""/>
            <o:lock v:ext="edit"/>
          </v:shape>
        </w:pict>
      </w:r>
      <w:r>
        <w:rPr>
          <w:sz w:val="32"/>
        </w:rPr>
        <w:pict>
          <v:line id="_x0000_s2068" o:spid="_x0000_s2068" o:spt="20" style="position:absolute;left:0pt;flip:x;margin-left:56.35pt;margin-top:16pt;height:18.4pt;width:0pt;z-index:254022656;mso-width-relative:page;mso-height-relative:page;" filled="f" stroked="f" coordsize="21600,21600">
            <v:path arrowok="t"/>
            <v:fill on="f" focussize="0,0"/>
            <v:stroke on="f"/>
            <v:imagedata o:title=""/>
            <o:lock v:ext="edit" aspectratio="f"/>
          </v:line>
        </w:pict>
      </w:r>
      <w:r>
        <w:rPr>
          <w:sz w:val="32"/>
        </w:rPr>
        <w:pict>
          <v:line id="_x0000_s2069" o:spid="_x0000_s2069" o:spt="20" style="position:absolute;left:0pt;margin-left:56.35pt;margin-top:16pt;height:0.85pt;width:214.2pt;z-index:254015488;mso-width-relative:page;mso-height-relative:page;" filled="f" stroked="f" coordsize="21600,21600">
            <v:path arrowok="t"/>
            <v:fill on="f" focussize="0,0"/>
            <v:stroke on="f"/>
            <v:imagedata o:title=""/>
            <o:lock v:ext="edit" aspectratio="f"/>
          </v:line>
        </w:pict>
      </w:r>
      <w:r>
        <w:rPr>
          <w:sz w:val="32"/>
        </w:rPr>
        <w:pict>
          <v:line id="_x0000_s2070" o:spid="_x0000_s2070" o:spt="20" style="position:absolute;left:0pt;margin-left:202.95pt;margin-top:4.15pt;height:13.15pt;width:0pt;z-index:254005248;mso-width-relative:page;mso-height-relative:page;" filled="f" stroked="t" coordsize="21600,21600">
            <v:path arrowok="t"/>
            <v:fill on="f" focussize="0,0"/>
            <v:stroke color="#000000"/>
            <v:imagedata o:title=""/>
            <o:lock v:ext="edit" aspectratio="f"/>
          </v:line>
        </w:pict>
      </w:r>
    </w:p>
    <w:p>
      <w:pPr>
        <w:rPr>
          <w:rFonts w:cs="Calibri"/>
          <w:sz w:val="32"/>
          <w:szCs w:val="32"/>
        </w:rPr>
      </w:pPr>
      <w:r>
        <w:rPr>
          <w:sz w:val="32"/>
        </w:rPr>
        <w:pict>
          <v:shape id="_x0000_s2071" o:spid="_x0000_s2071" o:spt="202" type="#_x0000_t202" style="position:absolute;left:0pt;margin-left:347.2pt;margin-top:17pt;height:33.15pt;width:60.9pt;z-index:253988864;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档案查询</w:t>
                  </w:r>
                </w:p>
                <w:p>
                  <w:r>
                    <w:rPr>
                      <w:rFonts w:hint="eastAsia"/>
                    </w:rPr>
                    <w:t>产权信息</w:t>
                  </w:r>
                </w:p>
              </w:txbxContent>
            </v:textbox>
          </v:shape>
        </w:pict>
      </w:r>
      <w:r>
        <w:rPr>
          <w:sz w:val="32"/>
        </w:rPr>
        <w:pict>
          <v:shape id="_x0000_s2072" o:spid="_x0000_s2072" o:spt="202" type="#_x0000_t202" style="position:absolute;left:0pt;margin-left:69.1pt;margin-top:17.75pt;height:33.85pt;width:81.05pt;z-index:25436979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eastAsia="zh-CN"/>
                    </w:rPr>
                  </w:pPr>
                  <w:r>
                    <w:rPr>
                      <w:rFonts w:hint="eastAsia"/>
                      <w:lang w:eastAsia="zh-CN"/>
                    </w:rPr>
                    <w:t>缴纳登记费</w:t>
                  </w:r>
                </w:p>
              </w:txbxContent>
            </v:textbox>
          </v:shape>
        </w:pict>
      </w:r>
      <w:r>
        <w:rPr>
          <w:sz w:val="32"/>
        </w:rPr>
        <w:pict>
          <v:shape id="_x0000_s2073" o:spid="_x0000_s2073" o:spt="202" type="#_x0000_t202" style="position:absolute;left:0pt;margin-left:158.65pt;margin-top:16.6pt;height:34.6pt;width:90.15pt;z-index:25470464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划拨土地需交纳土地出证金</w:t>
                  </w:r>
                </w:p>
              </w:txbxContent>
            </v:textbox>
          </v:shape>
        </w:pict>
      </w:r>
      <w:r>
        <w:rPr>
          <w:sz w:val="32"/>
        </w:rPr>
        <w:pict>
          <v:shape id="_x0000_s2074" o:spid="_x0000_s2074" o:spt="202" type="#_x0000_t202" style="position:absolute;left:0pt;margin-left:255.25pt;margin-top:17.2pt;height:33.3pt;width:65.45pt;z-index:25398681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rPr>
                    <w:t>缴纳税金</w:t>
                  </w:r>
                </w:p>
              </w:txbxContent>
            </v:textbox>
          </v:shape>
        </w:pict>
      </w:r>
    </w:p>
    <w:p>
      <w:pPr>
        <w:rPr>
          <w:rFonts w:cs="Calibri"/>
          <w:sz w:val="32"/>
          <w:szCs w:val="32"/>
        </w:rPr>
      </w:pPr>
      <w:r>
        <w:rPr>
          <w:sz w:val="32"/>
        </w:rPr>
        <w:pict>
          <v:line id="_x0000_s2075" o:spid="_x0000_s2075" o:spt="20" style="position:absolute;left:0pt;flip:y;margin-left:321.9pt;margin-top:10.6pt;height:0.05pt;width:26.4pt;z-index:253987840;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line id="_x0000_s2076" o:spid="_x0000_s2076" o:spt="20" style="position:absolute;left:0pt;margin-left:116.05pt;margin-top:12.3pt;height:17pt;width:0pt;z-index:256374784;mso-width-relative:page;mso-height-relative:page;" filled="f" stroked="t" coordsize="21600,21600">
            <v:path arrowok="t"/>
            <v:fill on="f" focussize="0,0"/>
            <v:stroke color="#000000"/>
            <v:imagedata o:title=""/>
            <o:lock v:ext="edit" aspectratio="f"/>
          </v:line>
        </w:pict>
      </w:r>
      <w:r>
        <w:rPr>
          <w:sz w:val="32"/>
        </w:rPr>
        <w:pict>
          <v:line id="_x0000_s2077" o:spid="_x0000_s2077" o:spt="20" style="position:absolute;left:0pt;flip:x;margin-left:321.45pt;margin-top:2.1pt;height:0.05pt;width:25.9pt;z-index:253989888;mso-width-relative:page;mso-height-relative:page;" filled="f" stroked="t" coordsize="21600,21600">
            <v:path arrowok="t"/>
            <v:fill on="f" focussize="0,0"/>
            <v:stroke color="#000000" endarrow="open"/>
            <v:imagedata o:title=""/>
            <o:lock v:ext="edit" aspectratio="f"/>
          </v:line>
        </w:pict>
      </w:r>
      <w:r>
        <w:rPr>
          <w:sz w:val="32"/>
        </w:rPr>
        <w:pict>
          <v:line id="_x0000_s2078" o:spid="_x0000_s2078" o:spt="20" style="position:absolute;left:0pt;flip:x;margin-left:366.45pt;margin-top:11.45pt;height:17pt;width:0.3pt;z-index:254017536;mso-width-relative:page;mso-height-relative:page;" filled="f" stroked="t" coordsize="21600,21600">
            <v:path arrowok="t"/>
            <v:fill on="f" focussize="0,0"/>
            <v:stroke color="#000000"/>
            <v:imagedata o:title=""/>
            <o:lock v:ext="edit" aspectratio="f"/>
          </v:line>
        </w:pict>
      </w:r>
      <w:r>
        <w:rPr>
          <w:sz w:val="32"/>
        </w:rPr>
        <w:pict>
          <v:line id="_x0000_s2079" o:spid="_x0000_s2079" o:spt="20" style="position:absolute;left:0pt;margin-left:33.8pt;margin-top:2.2pt;height:24.65pt;width:0pt;z-index:254018560;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080" o:spid="_x0000_s2080" o:spt="20" style="position:absolute;left:0pt;margin-left:203.5pt;margin-top:8.85pt;height:34.1pt;width:0.2pt;z-index:254019584;mso-width-relative:page;mso-height-relative:page;" filled="f" stroked="t" coordsize="21600,21600">
            <v:path arrowok="t"/>
            <v:fill on="f" focussize="0,0"/>
            <v:stroke color="#000000" endarrow="open"/>
            <v:imagedata o:title=""/>
            <o:lock v:ext="edit" aspectratio="f"/>
          </v:line>
        </w:pict>
      </w:r>
      <w:r>
        <w:rPr>
          <w:sz w:val="32"/>
        </w:rPr>
        <w:pict>
          <v:line id="_x0000_s2081" o:spid="_x0000_s2081" o:spt="20" style="position:absolute;left:0pt;margin-left:9.15pt;margin-top:1.3pt;height:1.7pt;width:358.4pt;z-index:254016512;mso-width-relative:page;mso-height-relative:page;" filled="f" stroked="f" coordsize="21600,21600">
            <v:path arrowok="t"/>
            <v:fill on="f" focussize="0,0"/>
            <v:stroke on="f"/>
            <v:imagedata o:title=""/>
            <o:lock v:ext="edit" aspectratio="f"/>
          </v:line>
        </w:pict>
      </w:r>
      <w:r>
        <w:rPr>
          <w:rFonts w:cs="Calibri"/>
          <w:sz w:val="32"/>
          <w:szCs w:val="32"/>
        </w:rPr>
        <w:pict>
          <v:shape id="_x0000_s2082" o:spid="_x0000_s2082" o:spt="32" type="#_x0000_t32" style="position:absolute;left:0pt;margin-left:114.95pt;margin-top:8.15pt;height:0.15pt;width:252pt;z-index:253731840;mso-width-relative:page;mso-height-relative:page;" filled="f" stroked="t" coordsize="21600,21600">
            <v:path arrowok="t"/>
            <v:fill on="f" focussize="0,0"/>
            <v:stroke color="#000000"/>
            <v:imagedata o:title=""/>
            <o:lock v:ext="edit" aspectratio="f"/>
          </v:shape>
        </w:pict>
      </w:r>
    </w:p>
    <w:p>
      <w:pPr>
        <w:rPr>
          <w:rFonts w:cs="Calibri"/>
          <w:sz w:val="32"/>
          <w:szCs w:val="32"/>
        </w:rPr>
      </w:pPr>
    </w:p>
    <w:p>
      <w:pPr>
        <w:rPr>
          <w:rFonts w:cs="Calibri"/>
          <w:sz w:val="32"/>
          <w:szCs w:val="32"/>
        </w:rPr>
      </w:pPr>
      <w:r>
        <w:rPr>
          <w:sz w:val="32"/>
        </w:rPr>
        <w:pict>
          <v:shape id="_x0000_s2083" o:spid="_x0000_s2083" o:spt="202" type="#_x0000_t202" style="position:absolute;left:0pt;margin-left:136.1pt;margin-top:3.7pt;height:26.85pt;width:136.65pt;z-index:25399193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综合窗口初审资料</w:t>
                  </w:r>
                </w:p>
              </w:txbxContent>
            </v:textbox>
          </v:shape>
        </w:pict>
      </w:r>
    </w:p>
    <w:p>
      <w:pPr>
        <w:rPr>
          <w:rFonts w:cs="Calibri"/>
          <w:sz w:val="32"/>
          <w:szCs w:val="32"/>
        </w:rPr>
      </w:pPr>
      <w:r>
        <w:rPr>
          <w:sz w:val="32"/>
        </w:rPr>
        <w:pict>
          <v:line id="_x0000_s2084" o:spid="_x0000_s2084" o:spt="20" style="position:absolute;left:0pt;flip:x;margin-left:203.7pt;margin-top:10.8pt;height:18.4pt;width:0pt;z-index:254030848;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5" o:spid="_x0000_s2085" o:spt="202" type="#_x0000_t202" style="position:absolute;left:0pt;margin-left:135.15pt;margin-top:9.9pt;height:23.7pt;width:139.45pt;z-index:25399296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档案资料扫描</w:t>
                  </w:r>
                </w:p>
              </w:txbxContent>
            </v:textbox>
          </v:shape>
        </w:pict>
      </w:r>
    </w:p>
    <w:p>
      <w:pPr>
        <w:rPr>
          <w:rFonts w:cs="Calibri"/>
          <w:sz w:val="32"/>
          <w:szCs w:val="32"/>
        </w:rPr>
      </w:pPr>
      <w:r>
        <w:rPr>
          <w:sz w:val="32"/>
        </w:rPr>
        <w:pict>
          <v:line id="_x0000_s2086" o:spid="_x0000_s2086" o:spt="20" style="position:absolute;left:0pt;flip:x;margin-left:204.85pt;margin-top:14.75pt;height:18.4pt;width:0pt;z-index:25403187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7" o:spid="_x0000_s2087" o:spt="202" type="#_x0000_t202" style="position:absolute;left:0pt;margin-left:136.25pt;margin-top:13.25pt;height:26.85pt;width:140.1pt;z-index:25399398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不动产复审岗位进行复审</w:t>
                  </w:r>
                </w:p>
              </w:txbxContent>
            </v:textbox>
          </v:shape>
        </w:pict>
      </w:r>
    </w:p>
    <w:p>
      <w:pPr>
        <w:rPr>
          <w:rFonts w:cs="Calibri"/>
          <w:sz w:val="32"/>
          <w:szCs w:val="32"/>
        </w:rPr>
      </w:pPr>
    </w:p>
    <w:p>
      <w:pPr>
        <w:rPr>
          <w:rFonts w:cs="Calibri"/>
          <w:sz w:val="32"/>
          <w:szCs w:val="32"/>
        </w:rPr>
      </w:pPr>
      <w:r>
        <w:rPr>
          <w:sz w:val="32"/>
        </w:rPr>
        <w:pict>
          <v:line id="_x0000_s2088" o:spid="_x0000_s2088" o:spt="20" style="position:absolute;left:0pt;flip:x;margin-left:206.55pt;margin-top:1.9pt;height:18.4pt;width:0pt;z-index:254032896;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9" o:spid="_x0000_s2089" o:spt="202" type="#_x0000_t202" style="position:absolute;left:0pt;margin-left:138.3pt;margin-top:1.55pt;height:22.3pt;width:138.3pt;z-index:253995008;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记载登记薄</w:t>
                  </w:r>
                </w:p>
              </w:txbxContent>
            </v:textbox>
          </v:shape>
        </w:pict>
      </w:r>
    </w:p>
    <w:p>
      <w:pPr>
        <w:rPr>
          <w:rFonts w:cs="Calibri"/>
          <w:sz w:val="32"/>
          <w:szCs w:val="32"/>
        </w:rPr>
      </w:pPr>
      <w:r>
        <w:rPr>
          <w:sz w:val="32"/>
        </w:rPr>
        <w:pict>
          <v:line id="_x0000_s2090" o:spid="_x0000_s2090" o:spt="20" style="position:absolute;left:0pt;margin-left:206.2pt;margin-top:4.95pt;height:20.3pt;width:0pt;z-index:25399910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91" o:spid="_x0000_s2091" o:spt="202" type="#_x0000_t202" style="position:absolute;left:0pt;margin-left:139pt;margin-top:6.15pt;height:22.6pt;width:137.3pt;z-index:25399705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rPr>
                    <w:t>缮证</w:t>
                  </w:r>
                  <w:r>
                    <w:rPr>
                      <w:rFonts w:hint="eastAsia"/>
                      <w:lang w:eastAsia="zh-CN"/>
                    </w:rPr>
                    <w:t>发证</w:t>
                  </w:r>
                </w:p>
              </w:txbxContent>
            </v:textbox>
          </v:shape>
        </w:pict>
      </w:r>
    </w:p>
    <w:p>
      <w:pPr>
        <w:rPr>
          <w:rFonts w:cs="Calibri"/>
          <w:sz w:val="32"/>
          <w:szCs w:val="32"/>
        </w:rPr>
      </w:pPr>
      <w:r>
        <w:rPr>
          <w:sz w:val="32"/>
        </w:rPr>
        <w:pict>
          <v:line id="_x0000_s2092" o:spid="_x0000_s2092" o:spt="20" style="position:absolute;left:0pt;margin-left:206.85pt;margin-top:10.45pt;height:20.3pt;width:0pt;z-index:25537843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93" o:spid="_x0000_s2093" o:spt="176" type="#_x0000_t176" style="position:absolute;left:0pt;margin-left:183.7pt;margin-top:12.35pt;height:25.3pt;width:46.35pt;z-index:255685632;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hint="eastAsia" w:eastAsia="宋体"/>
                      <w:szCs w:val="21"/>
                      <w:lang w:eastAsia="zh-CN"/>
                    </w:rPr>
                  </w:pPr>
                  <w:r>
                    <w:rPr>
                      <w:rFonts w:hint="eastAsia"/>
                      <w:szCs w:val="21"/>
                      <w:lang w:eastAsia="zh-CN"/>
                    </w:rPr>
                    <w:t>结束</w:t>
                  </w:r>
                </w:p>
              </w:txbxContent>
            </v:textbox>
          </v:shape>
        </w:pict>
      </w:r>
    </w:p>
    <w:p>
      <w:pPr>
        <w:rPr>
          <w:rFonts w:cs="Calibri"/>
          <w:sz w:val="32"/>
          <w:szCs w:val="32"/>
        </w:rPr>
      </w:pPr>
    </w:p>
    <w:p>
      <w:pPr>
        <w:rPr>
          <w:rFonts w:cs="Calibri"/>
          <w:sz w:val="32"/>
          <w:szCs w:val="32"/>
        </w:rPr>
      </w:pPr>
    </w:p>
    <w:p>
      <w:pPr>
        <w:rPr>
          <w:rFonts w:cs="Calibri"/>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cs="Calibri"/>
          <w:sz w:val="32"/>
          <w:szCs w:val="32"/>
        </w:rPr>
      </w:pPr>
    </w:p>
    <w:p>
      <w:pPr>
        <w:rPr>
          <w:rFonts w:cs="Calibri"/>
          <w:sz w:val="32"/>
          <w:szCs w:val="32"/>
        </w:rPr>
      </w:pPr>
    </w:p>
    <w:p>
      <w:pPr>
        <w:spacing w:line="500" w:lineRule="exact"/>
        <w:rPr>
          <w:rFonts w:ascii="黑体" w:hAnsi="黑体" w:eastAsia="黑体" w:cs="黑体"/>
          <w:b/>
          <w:bCs/>
          <w:sz w:val="32"/>
          <w:szCs w:val="32"/>
        </w:rPr>
      </w:pPr>
      <w:r>
        <w:rPr>
          <w:sz w:val="32"/>
        </w:rPr>
        <w:pict>
          <v:line id="直线 137" o:spid="_x0000_s2094" o:spt="20" style="position:absolute;left:0pt;margin-left:280.25pt;margin-top:93.65pt;height:10.5pt;width:0.05pt;z-index:251660288;mso-width-relative:page;mso-height-relative:page;" coordsize="21600,21600">
            <v:path arrowok="t"/>
            <v:fill focussize="0,0"/>
            <v:stroke/>
            <v:imagedata o:title=""/>
            <o:lock v:ext="edit"/>
          </v:line>
        </w:pict>
      </w:r>
      <w:r>
        <w:rPr>
          <w:rFonts w:hint="eastAsia" w:ascii="黑体" w:hAnsi="黑体" w:eastAsia="黑体" w:cs="黑体"/>
          <w:b/>
          <w:bCs/>
          <w:sz w:val="32"/>
          <w:szCs w:val="32"/>
        </w:rPr>
        <w:t>九、办理说明</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（1）转移登记应双方共同申请，买方为夫妻双方的，且的对产权划分无特需要求可委托其中一人到场签字，或手写委托书委托办理即可；</w:t>
      </w:r>
    </w:p>
    <w:p>
      <w:pPr>
        <w:spacing w:line="5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(2)买方为夫妻双方的，对产权划分有详细要求的，需夫妻双方同事到场签字确认，</w:t>
      </w:r>
      <w:r>
        <w:rPr>
          <w:rFonts w:hint="eastAsia" w:ascii="仿宋" w:hAnsi="仿宋" w:eastAsia="仿宋" w:cs="仿宋"/>
          <w:sz w:val="32"/>
          <w:szCs w:val="32"/>
        </w:rPr>
        <w:t>或由代理人持公证部门出具的委托公证书到场签字认可</w:t>
      </w:r>
      <w:r>
        <w:rPr>
          <w:rFonts w:hint="eastAsia" w:ascii="仿宋_GB2312" w:hAnsi="仿宋_GB2312" w:eastAsia="仿宋_GB2312" w:cs="仿宋_GB2312"/>
          <w:color w:val="000000"/>
          <w:sz w:val="32"/>
          <w:szCs w:val="32"/>
        </w:rPr>
        <w:t>；</w:t>
      </w:r>
    </w:p>
    <w:p>
      <w:pPr>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买方不属夫妻关系，需买方所有产权人到场对产权份额的划分签字认可，</w:t>
      </w:r>
      <w:r>
        <w:rPr>
          <w:rFonts w:hint="eastAsia" w:ascii="仿宋" w:hAnsi="仿宋" w:eastAsia="仿宋" w:cs="仿宋"/>
          <w:sz w:val="32"/>
          <w:szCs w:val="32"/>
        </w:rPr>
        <w:t>或由代理人持公证部门出具的委托公证书到场签字认可；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（4）卖方无法到场的，代理人必须持公证处出具的委托公证书到受理窗口登记；</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（5）原土地使用权人无法到场申请的，需在国土局网站上公示15个工作日后，持公示单与网站截图再到窗口申请受理；</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（6）原土地使用权人为单位和个人的，需拿国土证总证原件到窗口核减土地使用权面积；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（7）遗失补证的登报公示期为15个工作日，申请遗失补证时可以与产权的转移登记合并办理；</w:t>
      </w:r>
    </w:p>
    <w:p>
      <w:pPr>
        <w:spacing w:line="500" w:lineRule="exact"/>
        <w:rPr>
          <w:rFonts w:ascii="黑体" w:hAnsi="黑体" w:eastAsia="黑体" w:cs="黑体"/>
          <w:b/>
          <w:bCs/>
          <w:sz w:val="32"/>
          <w:szCs w:val="32"/>
        </w:rPr>
      </w:pPr>
      <w:r>
        <w:rPr>
          <w:rFonts w:hint="eastAsia" w:ascii="黑体" w:hAnsi="黑体" w:eastAsia="黑体" w:cs="黑体"/>
          <w:b/>
          <w:bCs/>
          <w:sz w:val="32"/>
          <w:szCs w:val="32"/>
        </w:rPr>
        <w:t>十、审批时限</w:t>
      </w:r>
    </w:p>
    <w:p>
      <w:pPr>
        <w:spacing w:line="500" w:lineRule="exact"/>
        <w:ind w:firstLine="560" w:firstLineChars="200"/>
        <w:rPr>
          <w:rFonts w:ascii="仿宋" w:hAnsi="仿宋" w:eastAsia="仿宋" w:cs="宋体"/>
          <w:sz w:val="32"/>
          <w:szCs w:val="32"/>
        </w:rPr>
      </w:pPr>
      <w:r>
        <w:rPr>
          <w:rFonts w:hint="eastAsia" w:ascii="仿宋" w:hAnsi="仿宋" w:eastAsia="仿宋" w:cs="宋体"/>
          <w:sz w:val="28"/>
          <w:szCs w:val="28"/>
        </w:rPr>
        <w:t>承诺5个工作日（法定公示期和权籍落宗工作日除外）</w:t>
      </w:r>
    </w:p>
    <w:p>
      <w:pPr>
        <w:spacing w:line="480" w:lineRule="exact"/>
        <w:rPr>
          <w:rFonts w:ascii="黑体" w:hAnsi="黑体" w:eastAsia="黑体" w:cs="黑体"/>
          <w:b/>
          <w:bCs/>
          <w:sz w:val="32"/>
          <w:szCs w:val="32"/>
        </w:rPr>
      </w:pPr>
      <w:r>
        <w:rPr>
          <w:rFonts w:hint="eastAsia" w:ascii="黑体" w:hAnsi="黑体" w:eastAsia="黑体" w:cs="黑体"/>
          <w:b/>
          <w:bCs/>
          <w:sz w:val="32"/>
          <w:szCs w:val="32"/>
        </w:rPr>
        <w:t>十一、收费标准及依据</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、非税窗口缴纳：登记费住宅80元/件，非住宅550元/件，不动产权属证书工本费10元/本(夫妻之间的产权转移)。</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登记费与工本费不重复收取。</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《湖南省发展和改革委员会  湖南省财政厅关于转发&lt;国家发展改革委  财政部关于不动产登记收费标准等有关问题&gt;的通知》（湘发改价费[2016]2559号〔2017〕264号）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土地收益金（土地出让金）：经济适用住房、存量公房，按照税务部门评估计税价格的10%缴纳；房改房，按照税务部门评估计税价格的1%缴纳；按房改房政策分配给职工但未经房改办审批的，以及国用企业改制时分配给职工的住房，单位集资建房、拆迁安置房按照税务部门评估计税价格的3%缴纳；历史遗留的国有划拨土地上的商品住房按不低于申请不动产登记时具有合法资质的机构依法出具的土地评估价的35%缴纳；历史遗留的国有划拨土地上的商业用房，按不低于申请不动产登记时具有合法资质的机构依法出具的土地评估价的40%缴纳。</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收费文件依据：《岳阳市人民政府办公室关于妥善处理当前不动产登记中有关问题的通知》（岳政办发〔2017〕29号）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、缴纳税金：见附表</w:t>
      </w:r>
    </w:p>
    <w:p>
      <w:pPr>
        <w:rPr>
          <w:rFonts w:ascii="宋体" w:hAnsi="宋体" w:cs="宋体"/>
          <w:sz w:val="32"/>
          <w:szCs w:val="32"/>
        </w:rPr>
        <w:sectPr>
          <w:pgSz w:w="11906" w:h="16838"/>
          <w:pgMar w:top="1440" w:right="1803" w:bottom="1440" w:left="1803" w:header="851" w:footer="992" w:gutter="0"/>
          <w:cols w:space="720" w:num="1"/>
          <w:docGrid w:linePitch="319" w:charSpace="0"/>
        </w:sectPr>
      </w:pPr>
    </w:p>
    <w:p>
      <w:pPr>
        <w:rPr>
          <w:rFonts w:ascii="宋体" w:hAnsi="宋体" w:cs="宋体"/>
          <w:szCs w:val="21"/>
        </w:rPr>
      </w:pPr>
    </w:p>
    <w:p>
      <w:pPr>
        <w:rPr>
          <w:rFonts w:ascii="宋体" w:hAnsi="宋体" w:cs="宋体"/>
          <w:b/>
          <w:sz w:val="32"/>
          <w:szCs w:val="32"/>
        </w:rPr>
      </w:pPr>
      <w:r>
        <w:rPr>
          <w:rFonts w:hint="eastAsia" w:ascii="宋体" w:hAnsi="宋体" w:cs="宋体"/>
          <w:b/>
          <w:sz w:val="32"/>
          <w:szCs w:val="32"/>
        </w:rPr>
        <w:t>税金交纳附表：</w:t>
      </w:r>
    </w:p>
    <w:tbl>
      <w:tblPr>
        <w:tblStyle w:val="6"/>
        <w:tblW w:w="144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1"/>
        <w:gridCol w:w="862"/>
        <w:gridCol w:w="852"/>
        <w:gridCol w:w="1555"/>
        <w:gridCol w:w="1090"/>
        <w:gridCol w:w="1091"/>
        <w:gridCol w:w="1094"/>
        <w:gridCol w:w="1092"/>
        <w:gridCol w:w="1092"/>
        <w:gridCol w:w="1092"/>
        <w:gridCol w:w="1092"/>
        <w:gridCol w:w="1092"/>
        <w:gridCol w:w="13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5" w:hRule="atLeast"/>
        </w:trPr>
        <w:tc>
          <w:tcPr>
            <w:tcW w:w="12003" w:type="dxa"/>
            <w:gridSpan w:val="11"/>
            <w:vAlign w:val="center"/>
          </w:tcPr>
          <w:p>
            <w:pPr>
              <w:jc w:val="center"/>
              <w:rPr>
                <w:b/>
                <w:sz w:val="28"/>
                <w:szCs w:val="28"/>
              </w:rPr>
            </w:pPr>
            <w:r>
              <w:rPr>
                <w:rFonts w:hint="eastAsia"/>
                <w:b/>
                <w:sz w:val="28"/>
                <w:szCs w:val="28"/>
              </w:rPr>
              <w:t>住   宅</w:t>
            </w:r>
          </w:p>
        </w:tc>
        <w:tc>
          <w:tcPr>
            <w:tcW w:w="2435" w:type="dxa"/>
            <w:gridSpan w:val="2"/>
            <w:vAlign w:val="center"/>
          </w:tcPr>
          <w:p>
            <w:pPr>
              <w:jc w:val="center"/>
              <w:rPr>
                <w:b/>
                <w:sz w:val="28"/>
                <w:szCs w:val="28"/>
              </w:rPr>
            </w:pPr>
            <w:r>
              <w:rPr>
                <w:rFonts w:hint="eastAsia"/>
                <w:b/>
                <w:sz w:val="28"/>
                <w:szCs w:val="28"/>
              </w:rPr>
              <w:t>非住宅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1" w:hRule="atLeast"/>
        </w:trPr>
        <w:tc>
          <w:tcPr>
            <w:tcW w:w="1091" w:type="dxa"/>
            <w:vMerge w:val="restart"/>
            <w:vAlign w:val="center"/>
          </w:tcPr>
          <w:p>
            <w:pPr>
              <w:jc w:val="center"/>
            </w:pPr>
            <w:r>
              <w:rPr>
                <w:rFonts w:hint="eastAsia"/>
              </w:rPr>
              <w:t>增值及</w:t>
            </w:r>
          </w:p>
          <w:p>
            <w:pPr>
              <w:jc w:val="center"/>
            </w:pPr>
            <w:r>
              <w:rPr>
                <w:rFonts w:hint="eastAsia"/>
              </w:rPr>
              <w:t>附加税</w:t>
            </w:r>
          </w:p>
        </w:tc>
        <w:tc>
          <w:tcPr>
            <w:tcW w:w="1714" w:type="dxa"/>
            <w:gridSpan w:val="2"/>
            <w:vAlign w:val="center"/>
          </w:tcPr>
          <w:p>
            <w:pPr>
              <w:jc w:val="center"/>
            </w:pPr>
            <w:r>
              <w:rPr>
                <w:rFonts w:hint="eastAsia"/>
              </w:rPr>
              <w:t>纳税人</w:t>
            </w:r>
          </w:p>
        </w:tc>
        <w:tc>
          <w:tcPr>
            <w:tcW w:w="1555" w:type="dxa"/>
            <w:vAlign w:val="center"/>
          </w:tcPr>
          <w:p>
            <w:pPr>
              <w:jc w:val="center"/>
            </w:pPr>
            <w:r>
              <w:rPr>
                <w:rFonts w:hint="eastAsia"/>
              </w:rPr>
              <w:t>备注</w:t>
            </w:r>
          </w:p>
        </w:tc>
        <w:tc>
          <w:tcPr>
            <w:tcW w:w="1090" w:type="dxa"/>
            <w:vAlign w:val="center"/>
          </w:tcPr>
          <w:p>
            <w:pPr>
              <w:jc w:val="center"/>
            </w:pPr>
            <w:r>
              <w:rPr>
                <w:rFonts w:hint="eastAsia"/>
              </w:rPr>
              <w:t>二手房</w:t>
            </w:r>
          </w:p>
        </w:tc>
        <w:tc>
          <w:tcPr>
            <w:tcW w:w="1091" w:type="dxa"/>
            <w:vAlign w:val="center"/>
          </w:tcPr>
          <w:p>
            <w:pPr>
              <w:jc w:val="center"/>
            </w:pPr>
            <w:r>
              <w:rPr>
                <w:rFonts w:hint="eastAsia"/>
              </w:rPr>
              <w:t>法院判决</w:t>
            </w:r>
          </w:p>
        </w:tc>
        <w:tc>
          <w:tcPr>
            <w:tcW w:w="1094" w:type="dxa"/>
            <w:vAlign w:val="center"/>
          </w:tcPr>
          <w:p>
            <w:pPr>
              <w:jc w:val="center"/>
            </w:pPr>
            <w:r>
              <w:rPr>
                <w:rFonts w:hint="eastAsia"/>
              </w:rPr>
              <w:t>拍卖</w:t>
            </w:r>
          </w:p>
        </w:tc>
        <w:tc>
          <w:tcPr>
            <w:tcW w:w="1092" w:type="dxa"/>
            <w:vAlign w:val="center"/>
          </w:tcPr>
          <w:p>
            <w:pPr>
              <w:jc w:val="center"/>
            </w:pPr>
            <w:r>
              <w:rPr>
                <w:rFonts w:hint="eastAsia"/>
              </w:rPr>
              <w:t>直系亲属赠与</w:t>
            </w:r>
          </w:p>
        </w:tc>
        <w:tc>
          <w:tcPr>
            <w:tcW w:w="1092" w:type="dxa"/>
            <w:vAlign w:val="center"/>
          </w:tcPr>
          <w:p>
            <w:pPr>
              <w:jc w:val="center"/>
            </w:pPr>
            <w:r>
              <w:rPr>
                <w:rFonts w:hint="eastAsia"/>
              </w:rPr>
              <w:t>交换</w:t>
            </w:r>
          </w:p>
        </w:tc>
        <w:tc>
          <w:tcPr>
            <w:tcW w:w="1092" w:type="dxa"/>
            <w:vAlign w:val="center"/>
          </w:tcPr>
          <w:p>
            <w:pPr>
              <w:jc w:val="center"/>
            </w:pPr>
            <w:r>
              <w:rPr>
                <w:rFonts w:hint="eastAsia"/>
              </w:rPr>
              <w:t>婚内赠与</w:t>
            </w:r>
          </w:p>
        </w:tc>
        <w:tc>
          <w:tcPr>
            <w:tcW w:w="1092" w:type="dxa"/>
            <w:vAlign w:val="center"/>
          </w:tcPr>
          <w:p>
            <w:pPr>
              <w:jc w:val="center"/>
            </w:pPr>
            <w:r>
              <w:rPr>
                <w:rFonts w:hint="eastAsia"/>
              </w:rPr>
              <w:t>分家析产</w:t>
            </w:r>
          </w:p>
        </w:tc>
        <w:tc>
          <w:tcPr>
            <w:tcW w:w="1092" w:type="dxa"/>
            <w:vAlign w:val="center"/>
          </w:tcPr>
          <w:p>
            <w:pPr>
              <w:jc w:val="center"/>
            </w:pPr>
            <w:r>
              <w:rPr>
                <w:rFonts w:hint="eastAsia"/>
              </w:rPr>
              <w:t>核定征收</w:t>
            </w:r>
          </w:p>
        </w:tc>
        <w:tc>
          <w:tcPr>
            <w:tcW w:w="1343" w:type="dxa"/>
            <w:vAlign w:val="center"/>
          </w:tcPr>
          <w:p>
            <w:pPr>
              <w:jc w:val="center"/>
            </w:pPr>
            <w:r>
              <w:rPr>
                <w:rFonts w:hint="eastAsia"/>
              </w:rPr>
              <w:t>计算征收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6" w:hRule="atLeast"/>
        </w:trPr>
        <w:tc>
          <w:tcPr>
            <w:tcW w:w="1091" w:type="dxa"/>
            <w:vMerge w:val="continue"/>
            <w:vAlign w:val="center"/>
          </w:tcPr>
          <w:p>
            <w:pPr>
              <w:jc w:val="center"/>
            </w:pP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满2年免（权证或契税票）</w:t>
            </w:r>
          </w:p>
        </w:tc>
        <w:tc>
          <w:tcPr>
            <w:tcW w:w="1090" w:type="dxa"/>
            <w:vAlign w:val="center"/>
          </w:tcPr>
          <w:p>
            <w:pPr>
              <w:jc w:val="center"/>
            </w:pPr>
            <w:r>
              <w:rPr>
                <w:rFonts w:hint="eastAsia"/>
              </w:rPr>
              <w:t>5.3%</w:t>
            </w:r>
          </w:p>
        </w:tc>
        <w:tc>
          <w:tcPr>
            <w:tcW w:w="1091" w:type="dxa"/>
            <w:vAlign w:val="center"/>
          </w:tcPr>
          <w:p>
            <w:pPr>
              <w:jc w:val="center"/>
            </w:pPr>
            <w:r>
              <w:rPr>
                <w:rFonts w:hint="eastAsia"/>
              </w:rPr>
              <w:t>5.3%</w:t>
            </w:r>
          </w:p>
        </w:tc>
        <w:tc>
          <w:tcPr>
            <w:tcW w:w="1094"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343" w:type="dxa"/>
            <w:vAlign w:val="center"/>
          </w:tcPr>
          <w:p>
            <w:pPr>
              <w:jc w:val="center"/>
            </w:pPr>
            <w:r>
              <w:rPr>
                <w:rFonts w:hint="eastAsia"/>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契税</w:t>
            </w:r>
          </w:p>
        </w:tc>
        <w:tc>
          <w:tcPr>
            <w:tcW w:w="862" w:type="dxa"/>
            <w:vAlign w:val="center"/>
          </w:tcPr>
          <w:p>
            <w:pPr>
              <w:jc w:val="center"/>
            </w:pPr>
          </w:p>
        </w:tc>
        <w:tc>
          <w:tcPr>
            <w:tcW w:w="852" w:type="dxa"/>
            <w:vAlign w:val="center"/>
          </w:tcPr>
          <w:p>
            <w:pPr>
              <w:jc w:val="center"/>
            </w:pPr>
            <w:r>
              <w:rPr>
                <w:rFonts w:hint="eastAsia"/>
              </w:rPr>
              <w:t>买进方</w:t>
            </w:r>
          </w:p>
        </w:tc>
        <w:tc>
          <w:tcPr>
            <w:tcW w:w="5922" w:type="dxa"/>
            <w:gridSpan w:val="5"/>
            <w:vAlign w:val="center"/>
          </w:tcPr>
          <w:p>
            <w:pPr>
              <w:jc w:val="left"/>
            </w:pPr>
            <w:r>
              <w:rPr>
                <w:rFonts w:hint="eastAsia"/>
              </w:rPr>
              <w:t>90平米以下首次和二次购房为1%；90平米以上首次购房为1.5%，二次购房为2%；三次及三次以上购房不论面积4%。</w:t>
            </w:r>
          </w:p>
        </w:tc>
        <w:tc>
          <w:tcPr>
            <w:tcW w:w="1092" w:type="dxa"/>
            <w:vAlign w:val="center"/>
          </w:tcPr>
          <w:p>
            <w:pPr>
              <w:jc w:val="center"/>
            </w:pPr>
            <w:r>
              <w:rPr>
                <w:rFonts w:hint="eastAsia"/>
              </w:rPr>
              <w:t>差额征收</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4%</w:t>
            </w:r>
          </w:p>
        </w:tc>
        <w:tc>
          <w:tcPr>
            <w:tcW w:w="1343" w:type="dxa"/>
            <w:vAlign w:val="center"/>
          </w:tcPr>
          <w:p>
            <w:pPr>
              <w:jc w:val="center"/>
            </w:pPr>
            <w:r>
              <w:rPr>
                <w:rFonts w:hint="eastAsia"/>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94" w:hRule="atLeast"/>
        </w:trPr>
        <w:tc>
          <w:tcPr>
            <w:tcW w:w="1091" w:type="dxa"/>
            <w:vAlign w:val="center"/>
          </w:tcPr>
          <w:p>
            <w:pPr>
              <w:jc w:val="center"/>
            </w:pPr>
            <w:r>
              <w:rPr>
                <w:rFonts w:hint="eastAsia"/>
              </w:rPr>
              <w:t>个人</w:t>
            </w:r>
          </w:p>
          <w:p>
            <w:pPr>
              <w:jc w:val="center"/>
            </w:pPr>
            <w:r>
              <w:rPr>
                <w:rFonts w:hint="eastAsia"/>
              </w:rPr>
              <w:t>所得税</w:t>
            </w: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满5年家庭唯一住房免征</w:t>
            </w:r>
          </w:p>
        </w:tc>
        <w:tc>
          <w:tcPr>
            <w:tcW w:w="1090" w:type="dxa"/>
            <w:vAlign w:val="center"/>
          </w:tcPr>
          <w:p>
            <w:pPr>
              <w:jc w:val="center"/>
            </w:pPr>
            <w:r>
              <w:rPr>
                <w:rFonts w:hint="eastAsia"/>
              </w:rPr>
              <w:t>1%</w:t>
            </w:r>
          </w:p>
        </w:tc>
        <w:tc>
          <w:tcPr>
            <w:tcW w:w="1091" w:type="dxa"/>
            <w:vAlign w:val="center"/>
          </w:tcPr>
          <w:p>
            <w:pPr>
              <w:jc w:val="center"/>
            </w:pPr>
            <w:r>
              <w:rPr>
                <w:rFonts w:hint="eastAsia"/>
              </w:rPr>
              <w:t>1%</w:t>
            </w:r>
          </w:p>
        </w:tc>
        <w:tc>
          <w:tcPr>
            <w:tcW w:w="1094" w:type="dxa"/>
            <w:vAlign w:val="center"/>
          </w:tcPr>
          <w:p>
            <w:pPr>
              <w:jc w:val="center"/>
            </w:pPr>
            <w:r>
              <w:rPr>
                <w:rFonts w:hint="eastAsia"/>
              </w:rPr>
              <w:t>3%</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343" w:type="dxa"/>
            <w:vAlign w:val="center"/>
          </w:tcPr>
          <w:p>
            <w:pPr>
              <w:jc w:val="center"/>
            </w:pPr>
            <w:r>
              <w:rPr>
                <w:rFonts w:hint="eastAsia"/>
              </w:rPr>
              <w:t>20%(继承，赠与和分家析产得来的产权)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2" w:hRule="atLeast"/>
        </w:trPr>
        <w:tc>
          <w:tcPr>
            <w:tcW w:w="1091" w:type="dxa"/>
            <w:vAlign w:val="center"/>
          </w:tcPr>
          <w:p>
            <w:pPr>
              <w:jc w:val="center"/>
            </w:pPr>
            <w:r>
              <w:rPr>
                <w:rFonts w:hint="eastAsia"/>
              </w:rPr>
              <w:t>印花税</w:t>
            </w:r>
          </w:p>
        </w:tc>
        <w:tc>
          <w:tcPr>
            <w:tcW w:w="862" w:type="dxa"/>
            <w:vAlign w:val="center"/>
          </w:tcPr>
          <w:p>
            <w:pPr>
              <w:jc w:val="center"/>
            </w:pPr>
            <w:r>
              <w:rPr>
                <w:rFonts w:hint="eastAsia"/>
              </w:rPr>
              <w:t>卖出方</w:t>
            </w:r>
          </w:p>
        </w:tc>
        <w:tc>
          <w:tcPr>
            <w:tcW w:w="852" w:type="dxa"/>
            <w:vAlign w:val="center"/>
          </w:tcPr>
          <w:p>
            <w:pPr>
              <w:jc w:val="center"/>
            </w:pPr>
            <w:r>
              <w:rPr>
                <w:rFonts w:hint="eastAsia"/>
              </w:rPr>
              <w:t>买进方</w:t>
            </w: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0.025%</w:t>
            </w:r>
          </w:p>
        </w:tc>
        <w:tc>
          <w:tcPr>
            <w:tcW w:w="1343" w:type="dxa"/>
            <w:vAlign w:val="center"/>
          </w:tcPr>
          <w:p>
            <w:pPr>
              <w:jc w:val="center"/>
            </w:pPr>
            <w:r>
              <w:rPr>
                <w:rFonts w:hint="eastAsia"/>
              </w:rPr>
              <w:t>0.025%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土地</w:t>
            </w:r>
          </w:p>
          <w:p>
            <w:pPr>
              <w:jc w:val="center"/>
            </w:pPr>
            <w:r>
              <w:rPr>
                <w:rFonts w:hint="eastAsia"/>
              </w:rPr>
              <w:t>增值税</w:t>
            </w:r>
          </w:p>
        </w:tc>
        <w:tc>
          <w:tcPr>
            <w:tcW w:w="862" w:type="dxa"/>
            <w:vAlign w:val="center"/>
          </w:tcPr>
          <w:p>
            <w:pPr>
              <w:jc w:val="center"/>
            </w:pPr>
            <w:r>
              <w:rPr>
                <w:rFonts w:hint="eastAsia"/>
              </w:rPr>
              <w:t>卖出方</w:t>
            </w:r>
          </w:p>
        </w:tc>
        <w:tc>
          <w:tcPr>
            <w:tcW w:w="852" w:type="dxa"/>
            <w:vAlign w:val="center"/>
          </w:tcPr>
          <w:p>
            <w:pPr>
              <w:jc w:val="center"/>
            </w:pP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6%</w:t>
            </w:r>
          </w:p>
        </w:tc>
        <w:tc>
          <w:tcPr>
            <w:tcW w:w="1343" w:type="dxa"/>
            <w:vAlign w:val="center"/>
          </w:tcPr>
          <w:p>
            <w:pPr>
              <w:jc w:val="center"/>
            </w:pPr>
            <w:r>
              <w:rPr>
                <w:rFonts w:hint="eastAsia"/>
              </w:rPr>
              <w:t xml:space="preserve">30%-60% </w:t>
            </w:r>
          </w:p>
          <w:p>
            <w:pPr>
              <w:jc w:val="center"/>
            </w:pPr>
            <w:r>
              <w:rPr>
                <w:rFonts w:hint="eastAsia"/>
              </w:rPr>
              <w:t>(差额征收)</w:t>
            </w: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十二、办公地点和时间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eastAsia="zh-CN"/>
        </w:rPr>
        <w:t>华容县杏花村西路</w:t>
      </w:r>
      <w:r>
        <w:rPr>
          <w:rFonts w:hint="eastAsia" w:ascii="仿宋_GB2312" w:hAnsi="仿宋_GB2312" w:eastAsia="仿宋_GB2312" w:cs="仿宋_GB2312"/>
          <w:color w:val="000000"/>
          <w:sz w:val="32"/>
          <w:szCs w:val="32"/>
          <w:shd w:val="clear" w:color="auto" w:fill="FFFFFF"/>
          <w:lang w:val="en-US" w:eastAsia="zh-CN"/>
        </w:rPr>
        <w:t>18号</w:t>
      </w:r>
      <w:r>
        <w:rPr>
          <w:rFonts w:hint="eastAsia" w:ascii="仿宋_GB2312" w:hAnsi="仿宋_GB2312" w:eastAsia="仿宋_GB2312" w:cs="仿宋_GB2312"/>
          <w:color w:val="000000"/>
          <w:sz w:val="32"/>
          <w:szCs w:val="32"/>
          <w:shd w:val="clear" w:color="auto" w:fill="FFFFFF"/>
          <w:lang w:eastAsia="zh-CN"/>
        </w:rPr>
        <w:t>阳光政务三</w:t>
      </w:r>
      <w:r>
        <w:rPr>
          <w:rFonts w:hint="eastAsia" w:ascii="仿宋_GB2312" w:hAnsi="仿宋_GB2312" w:eastAsia="仿宋_GB2312" w:cs="仿宋_GB2312"/>
          <w:color w:val="000000"/>
          <w:sz w:val="32"/>
          <w:szCs w:val="32"/>
          <w:shd w:val="clear" w:color="auto" w:fill="FFFFFF"/>
          <w:lang w:val="en-US" w:eastAsia="zh-CN"/>
        </w:rPr>
        <w:t>楼</w:t>
      </w:r>
      <w:r>
        <w:rPr>
          <w:rFonts w:hint="eastAsia" w:ascii="仿宋_GB2312" w:hAnsi="仿宋_GB2312" w:eastAsia="仿宋_GB2312" w:cs="仿宋_GB2312"/>
          <w:color w:val="000000"/>
          <w:sz w:val="32"/>
          <w:szCs w:val="32"/>
          <w:shd w:val="clear" w:color="auto" w:fill="FFFFFF"/>
          <w:lang w:eastAsia="zh-CN"/>
        </w:rPr>
        <w:t>不动产登记中心窗口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00</w:t>
      </w:r>
      <w:r>
        <w:rPr>
          <w:rFonts w:hint="eastAsia" w:ascii="仿宋_GB2312" w:hAnsi="仿宋_GB2312" w:eastAsia="仿宋_GB2312" w:cs="仿宋_GB2312"/>
          <w:color w:val="000000"/>
          <w:sz w:val="32"/>
          <w:szCs w:val="32"/>
          <w:shd w:val="clear" w:color="auto" w:fill="FFFFFF"/>
        </w:rPr>
        <w:t>—17:30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下午13:</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十三、咨询监督电话</w:t>
      </w:r>
    </w:p>
    <w:p>
      <w:pPr>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lang w:eastAsia="zh-CN"/>
        </w:rPr>
        <w:t>不动产</w:t>
      </w:r>
      <w:r>
        <w:rPr>
          <w:rFonts w:hint="eastAsia" w:ascii="仿宋_GB2312" w:hAnsi="仿宋_GB2312" w:eastAsia="仿宋_GB2312" w:cs="仿宋_GB2312"/>
          <w:bCs/>
          <w:color w:val="000000"/>
          <w:sz w:val="32"/>
          <w:szCs w:val="32"/>
          <w:shd w:val="clear" w:color="auto" w:fill="FFFFFF"/>
        </w:rPr>
        <w:t>业务咨询：0730-</w:t>
      </w:r>
      <w:r>
        <w:rPr>
          <w:rFonts w:hint="eastAsia" w:ascii="仿宋_GB2312" w:hAnsi="仿宋_GB2312" w:eastAsia="仿宋_GB2312" w:cs="仿宋_GB2312"/>
          <w:bCs/>
          <w:color w:val="000000"/>
          <w:sz w:val="32"/>
          <w:szCs w:val="32"/>
          <w:shd w:val="clear" w:color="auto" w:fill="FFFFFF"/>
          <w:lang w:val="en-US" w:eastAsia="zh-CN"/>
        </w:rPr>
        <w:t>2929305</w:t>
      </w:r>
    </w:p>
    <w:p>
      <w:pPr>
        <w:rPr>
          <w:rFonts w:hint="default"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rPr>
        <w:t>监督电话：12345  0730-</w:t>
      </w:r>
      <w:r>
        <w:rPr>
          <w:rFonts w:hint="eastAsia" w:ascii="仿宋_GB2312" w:hAnsi="仿宋_GB2312" w:eastAsia="仿宋_GB2312" w:cs="仿宋_GB2312"/>
          <w:bCs/>
          <w:color w:val="000000"/>
          <w:sz w:val="32"/>
          <w:szCs w:val="32"/>
          <w:shd w:val="clear" w:color="auto" w:fill="FFFFFF"/>
          <w:lang w:val="en-US" w:eastAsia="zh-CN"/>
        </w:rPr>
        <w:t>2929513</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b/>
          <w:bCs/>
        </w:rPr>
      </w:pPr>
    </w:p>
    <w:p>
      <w:pPr>
        <w:rPr>
          <w:b/>
          <w:bCs/>
        </w:rPr>
      </w:pPr>
    </w:p>
    <w:p/>
    <w:sectPr>
      <w:pgSz w:w="11906" w:h="16838"/>
      <w:pgMar w:top="1440" w:right="1803" w:bottom="1440" w:left="1803"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4EF"/>
    <w:multiLevelType w:val="multilevel"/>
    <w:tmpl w:val="1A3054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2F79BF"/>
    <w:multiLevelType w:val="multilevel"/>
    <w:tmpl w:val="2A2F79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661F64"/>
    <w:multiLevelType w:val="multilevel"/>
    <w:tmpl w:val="3E661F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5B10"/>
    <w:rsid w:val="00034622"/>
    <w:rsid w:val="00067ACD"/>
    <w:rsid w:val="000C1567"/>
    <w:rsid w:val="000C6842"/>
    <w:rsid w:val="000D3718"/>
    <w:rsid w:val="000F075B"/>
    <w:rsid w:val="00100570"/>
    <w:rsid w:val="001333C5"/>
    <w:rsid w:val="00136863"/>
    <w:rsid w:val="00150064"/>
    <w:rsid w:val="001512B8"/>
    <w:rsid w:val="00157F4B"/>
    <w:rsid w:val="001947B4"/>
    <w:rsid w:val="001A23DE"/>
    <w:rsid w:val="001C3CA2"/>
    <w:rsid w:val="00254652"/>
    <w:rsid w:val="00264503"/>
    <w:rsid w:val="00271694"/>
    <w:rsid w:val="002770D8"/>
    <w:rsid w:val="002D64B5"/>
    <w:rsid w:val="00307513"/>
    <w:rsid w:val="00393DEE"/>
    <w:rsid w:val="003942E9"/>
    <w:rsid w:val="00396886"/>
    <w:rsid w:val="003C457A"/>
    <w:rsid w:val="003E52B2"/>
    <w:rsid w:val="003F3DCD"/>
    <w:rsid w:val="00412E06"/>
    <w:rsid w:val="0043077E"/>
    <w:rsid w:val="00445710"/>
    <w:rsid w:val="00452F0D"/>
    <w:rsid w:val="004A7DD6"/>
    <w:rsid w:val="004B31D6"/>
    <w:rsid w:val="004C1000"/>
    <w:rsid w:val="004C4C09"/>
    <w:rsid w:val="00545640"/>
    <w:rsid w:val="00555370"/>
    <w:rsid w:val="00555EC4"/>
    <w:rsid w:val="00572121"/>
    <w:rsid w:val="005810EF"/>
    <w:rsid w:val="00594E94"/>
    <w:rsid w:val="005A2595"/>
    <w:rsid w:val="005C1B9E"/>
    <w:rsid w:val="005D254F"/>
    <w:rsid w:val="005D262B"/>
    <w:rsid w:val="00600A43"/>
    <w:rsid w:val="00614009"/>
    <w:rsid w:val="00621C12"/>
    <w:rsid w:val="00681E51"/>
    <w:rsid w:val="00694077"/>
    <w:rsid w:val="0069407F"/>
    <w:rsid w:val="006A7F1E"/>
    <w:rsid w:val="006B0BD7"/>
    <w:rsid w:val="006B358B"/>
    <w:rsid w:val="006D11ED"/>
    <w:rsid w:val="00713584"/>
    <w:rsid w:val="00720FC0"/>
    <w:rsid w:val="007241B8"/>
    <w:rsid w:val="007331F3"/>
    <w:rsid w:val="00747749"/>
    <w:rsid w:val="00752ABC"/>
    <w:rsid w:val="0076170F"/>
    <w:rsid w:val="00795DB4"/>
    <w:rsid w:val="007A3FB2"/>
    <w:rsid w:val="007B357B"/>
    <w:rsid w:val="007D5E29"/>
    <w:rsid w:val="007E3D7B"/>
    <w:rsid w:val="007F0B8D"/>
    <w:rsid w:val="00803ED6"/>
    <w:rsid w:val="008337B6"/>
    <w:rsid w:val="0086147A"/>
    <w:rsid w:val="008967CF"/>
    <w:rsid w:val="008E55F7"/>
    <w:rsid w:val="00901131"/>
    <w:rsid w:val="00933322"/>
    <w:rsid w:val="00946B89"/>
    <w:rsid w:val="009477AE"/>
    <w:rsid w:val="00966438"/>
    <w:rsid w:val="00982CA2"/>
    <w:rsid w:val="009D1570"/>
    <w:rsid w:val="009D5755"/>
    <w:rsid w:val="009E3887"/>
    <w:rsid w:val="00A033CB"/>
    <w:rsid w:val="00A036CA"/>
    <w:rsid w:val="00A11775"/>
    <w:rsid w:val="00A53092"/>
    <w:rsid w:val="00A54667"/>
    <w:rsid w:val="00A86F2A"/>
    <w:rsid w:val="00AB287E"/>
    <w:rsid w:val="00AC5AB9"/>
    <w:rsid w:val="00AD7CC5"/>
    <w:rsid w:val="00AF04E1"/>
    <w:rsid w:val="00AF2E4F"/>
    <w:rsid w:val="00B05729"/>
    <w:rsid w:val="00B138EF"/>
    <w:rsid w:val="00B22C89"/>
    <w:rsid w:val="00B40DB2"/>
    <w:rsid w:val="00B62EA2"/>
    <w:rsid w:val="00B63DE9"/>
    <w:rsid w:val="00B95E41"/>
    <w:rsid w:val="00BA2BD7"/>
    <w:rsid w:val="00BB16A4"/>
    <w:rsid w:val="00BF1D9D"/>
    <w:rsid w:val="00C23408"/>
    <w:rsid w:val="00C32749"/>
    <w:rsid w:val="00C93A59"/>
    <w:rsid w:val="00C95344"/>
    <w:rsid w:val="00CA67C5"/>
    <w:rsid w:val="00CB640C"/>
    <w:rsid w:val="00CD7F61"/>
    <w:rsid w:val="00D123AC"/>
    <w:rsid w:val="00D623BF"/>
    <w:rsid w:val="00D660F3"/>
    <w:rsid w:val="00D86E26"/>
    <w:rsid w:val="00DA5958"/>
    <w:rsid w:val="00DB07F7"/>
    <w:rsid w:val="00DE30F0"/>
    <w:rsid w:val="00DF0981"/>
    <w:rsid w:val="00E0192A"/>
    <w:rsid w:val="00E1478B"/>
    <w:rsid w:val="00E51F58"/>
    <w:rsid w:val="00E92628"/>
    <w:rsid w:val="00E95B10"/>
    <w:rsid w:val="00EE1876"/>
    <w:rsid w:val="00EE1D87"/>
    <w:rsid w:val="00F421A4"/>
    <w:rsid w:val="00F43413"/>
    <w:rsid w:val="00F57F87"/>
    <w:rsid w:val="00FA67E2"/>
    <w:rsid w:val="00FD27F0"/>
    <w:rsid w:val="00FD579F"/>
    <w:rsid w:val="00FF331B"/>
    <w:rsid w:val="0C6E4D40"/>
    <w:rsid w:val="20910F9C"/>
    <w:rsid w:val="28DE491E"/>
    <w:rsid w:val="39CE5CCD"/>
    <w:rsid w:val="43811FBF"/>
    <w:rsid w:val="7AB6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4"/>
        <o:r id="V:Rule2" type="connector" idref="#_x0000_s2055"/>
        <o:r id="V:Rule3" type="connector" idref="#_x0000_s2056"/>
        <o:r id="V:Rule4" type="connector" idref="#_x0000_s2060"/>
        <o:r id="V:Rule5" type="connector" idref="#_x0000_s2066"/>
        <o:r id="V:Rule6" type="connector" idref="#_x0000_s2067"/>
        <o:r id="V:Rule7" type="connector" idref="#_x0000_s20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eastAsiaTheme="minorEastAsia" w:cstheme="minorBidi"/>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脚 Char"/>
    <w:link w:val="3"/>
    <w:uiPriority w:val="99"/>
    <w:rPr>
      <w:rFonts w:ascii="Calibri" w:hAnsi="Calibri"/>
      <w:sz w:val="18"/>
      <w:szCs w:val="18"/>
    </w:rPr>
  </w:style>
  <w:style w:type="character" w:customStyle="1" w:styleId="9">
    <w:name w:val="页脚 Char1"/>
    <w:basedOn w:val="7"/>
    <w:semiHidden/>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Calibri" w:hAnsi="Calibri" w:eastAsia="宋体" w:cs="Times New Roman"/>
      <w:sz w:val="18"/>
      <w:szCs w:val="18"/>
    </w:rPr>
  </w:style>
  <w:style w:type="character" w:customStyle="1" w:styleId="12">
    <w:name w:val="页眉 Char"/>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23B23-CD6C-45D6-AEE3-1261D732FD78}">
  <ds:schemaRefs/>
</ds:datastoreItem>
</file>

<file path=docProps/app.xml><?xml version="1.0" encoding="utf-8"?>
<Properties xmlns="http://schemas.openxmlformats.org/officeDocument/2006/extended-properties" xmlns:vt="http://schemas.openxmlformats.org/officeDocument/2006/docPropsVTypes">
  <Template>Normal</Template>
  <Pages>10</Pages>
  <Words>502</Words>
  <Characters>2864</Characters>
  <Lines>23</Lines>
  <Paragraphs>6</Paragraphs>
  <TotalTime>1</TotalTime>
  <ScaleCrop>false</ScaleCrop>
  <LinksUpToDate>false</LinksUpToDate>
  <CharactersWithSpaces>3360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2019-05-09T06:15:00Z</dcterms:created>
  <dc:creator>lenovo</dc:creator>
  <cp:lastModifiedBy>blast</cp:lastModifiedBy>
  <cp:lastPrinted>2019-05-10T02:43:00Z</cp:lastPrinted>
  <dcterms:modified xsi:type="dcterms:W3CDTF">2019-06-28T03:52:47Z</dcterms:modified>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